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t>DOCUMENTO 03  /  CONSTITUIÇÃO DO ECOSSISTEMA</w:t>
      </w:r>
    </w:p>
    <w:p>
      <w:pPr>
        <w:pStyle w:val="Title"/>
      </w:pPr>
      <w:r>
        <w:t>Constituição</w:t>
        <w:br/>
        <w:t>do Ecossistema</w:t>
      </w:r>
    </w:p>
    <w:p>
      <w:pPr>
        <w:pStyle w:val="Lead"/>
        <w:spacing w:after="300"/>
      </w:pPr>
      <w:r>
        <w:t>Princípios e compromissos que orientarão a construção colaborativa do Projeto Gênesis</w:t>
      </w:r>
    </w:p>
    <w:p>
      <w:pPr>
        <w:pStyle w:val="Small"/>
      </w:pPr>
      <w:r>
        <w:t>Versão 0.2   ·   Minuta para deliberação   ·   11 de outubro de 2026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16"/>
      </w:tblGrid>
      <w:tr>
        <w:tc>
          <w:tcPr>
            <w:tcW w:type="dxa" w:w="9288"/>
            <w:shd w:fill="F3F6F4"/>
          </w:tcPr>
          <w:p>
            <w:pPr>
              <w:pStyle w:val="Statement"/>
              <w:spacing w:before="240" w:after="240"/>
              <w:ind w:left="245" w:right="173"/>
            </w:pPr>
            <w:r/>
            <w:r>
              <w:t>Acolher ideias. Conectar capacidades. Construir confiança. Reconhecer contribuições.</w:t>
            </w:r>
          </w:p>
        </w:tc>
      </w:tr>
    </w:tbl>
    <w:p>
      <w:pPr>
        <w:spacing w:after="20"/>
      </w:pPr>
    </w:p>
    <w:p>
      <w:pPr>
        <w:pStyle w:val="Heading2"/>
      </w:pPr>
      <w:r>
        <w:t>Natureza deste documento</w:t>
      </w:r>
    </w:p>
    <w:p>
      <w:pPr/>
      <w:r>
        <w:t>Esta Constituição é uma carta de princípios e diretrizes de governança do ecossistema. Não constitui contrato de sociedade, regulamento definitivo de uso, oferta de investimento, promessa de remuneração nem instrumento de cessão de propriedade intelectual.</w:t>
      </w:r>
    </w:p>
    <w:p>
      <w:pPr/>
      <w:r>
        <w:t>Seu conteúdo orientará os próximos documentos e a operação piloto. Direitos e obrigações exigíveis entre participantes dependerão da lei e dos instrumentos próprios formalmente aceitos em cada relação.</w:t>
      </w:r>
    </w:p>
    <w:p>
      <w:pPr>
        <w:pStyle w:val="Heading2"/>
      </w:pPr>
      <w:r>
        <w:t>O que se preserva desde o início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rPr>
          <w:cantSplit/>
        </w:trPr>
        <w:tc>
          <w:tcPr>
            <w:tcW w:type="dxa" w:w="2880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Acesso</w:t>
            </w:r>
          </w:p>
        </w:tc>
        <w:tc>
          <w:tcPr>
            <w:tcW w:type="dxa" w:w="6768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Ter recursos financeiros, empresa aberta ou MVP não será requisito geral para apresentar uma iniciativa.</w:t>
            </w:r>
          </w:p>
        </w:tc>
      </w:tr>
      <w:tr>
        <w:trPr>
          <w:cantSplit/>
        </w:trPr>
        <w:tc>
          <w:tcPr>
            <w:tcW w:type="dxa" w:w="2880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Confiança</w:t>
            </w:r>
          </w:p>
        </w:tc>
        <w:tc>
          <w:tcPr>
            <w:tcW w:type="dxa" w:w="6768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Colaborações relevantes precisam de condições claras antes do início do trabalho.</w:t>
            </w:r>
          </w:p>
        </w:tc>
      </w:tr>
      <w:tr>
        <w:trPr>
          <w:cantSplit/>
        </w:trPr>
        <w:tc>
          <w:tcPr>
            <w:tcW w:type="dxa" w:w="2880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Reconhecimento</w:t>
            </w:r>
          </w:p>
        </w:tc>
        <w:tc>
          <w:tcPr>
            <w:tcW w:type="dxa" w:w="6768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Origem da iniciativa e contribuições posteriores são dimensões diferentes, ambas registráveis.</w:t>
            </w:r>
          </w:p>
        </w:tc>
      </w:tr>
      <w:tr>
        <w:trPr>
          <w:cantSplit/>
        </w:trPr>
        <w:tc>
          <w:tcPr>
            <w:tcW w:type="dxa" w:w="2880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Justiça econômica</w:t>
            </w:r>
          </w:p>
        </w:tc>
        <w:tc>
          <w:tcPr>
            <w:tcW w:type="dxa" w:w="6768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Importância de uma pessoa não se confunde com seu percentual de participação.</w:t>
            </w:r>
          </w:p>
        </w:tc>
      </w:tr>
      <w:tr>
        <w:trPr>
          <w:cantSplit/>
        </w:trPr>
        <w:tc>
          <w:tcPr>
            <w:tcW w:type="dxa" w:w="2880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Realismo</w:t>
            </w:r>
          </w:p>
        </w:tc>
        <w:tc>
          <w:tcPr>
            <w:tcW w:type="dxa" w:w="6768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Não há garantia de interesse, investimento, execução, sucesso ou retorno financeiro.</w:t>
            </w:r>
          </w:p>
        </w:tc>
      </w:tr>
    </w:tbl>
    <w:p>
      <w:pPr>
        <w:pStyle w:val="Kicker"/>
      </w:pPr>
      <w:r>
        <w:t>ESTADO DA DECISÃO  ·  Esta versão é proposta para aprovação do idealizador; dispositivos operacionais e jurídicos dependem de regulamentação posterior.</w:t>
      </w:r>
    </w:p>
    <w:p>
      <w:r>
        <w:br w:type="page"/>
      </w:r>
    </w:p>
    <w:p>
      <w:pPr>
        <w:pStyle w:val="Eyebrow"/>
      </w:pPr>
      <w:r>
        <w:t>PREÂMBULO</w:t>
      </w:r>
    </w:p>
    <w:p>
      <w:pPr>
        <w:pStyle w:val="Heading1"/>
      </w:pPr>
      <w:r>
        <w:t>Por que existimos</w:t>
      </w:r>
    </w:p>
    <w:p>
      <w:pPr/>
      <w:r>
        <w:t>O Gênesis nasce da experiência de pessoas que possuem uma ideia, uma habilidade ou um recurso, mas não conseguem encontrar os demais elementos necessários para realizar seu potencial. O ecossistema pretende reduzir essa distância oferecendo um espaço de encontro, colaboração e construção progressiva de confiança.</w:t>
      </w:r>
    </w:p>
    <w:p>
      <w:pPr/>
      <w:r>
        <w:t>Não procuramos uma hierarquia de “pessoas mais importantes”. Procuramos condições para que cada participante contribua com clareza, segurança e respeito, assumindo os compromissos que livremente pactuar.</w:t>
      </w:r>
    </w:p>
    <w:p>
      <w:pPr>
        <w:pStyle w:val="Eyebrow"/>
      </w:pPr>
      <w:r>
        <w:t>CAPÍTULO I</w:t>
      </w:r>
    </w:p>
    <w:p>
      <w:pPr>
        <w:pStyle w:val="Heading1"/>
      </w:pPr>
      <w:r>
        <w:t>Acesso, propósito e oportunidades</w:t>
      </w:r>
    </w:p>
    <w:p>
      <w:pPr>
        <w:pStyle w:val="Heading2"/>
      </w:pPr>
      <w:r>
        <w:t>Art. 1 — Finalidade</w:t>
      </w:r>
    </w:p>
    <w:p>
      <w:pPr>
        <w:pStyle w:val="Article"/>
      </w:pPr>
      <w:r>
        <w:t>Facilitar que iniciativas em diferentes estágios encontrem pessoas, conhecimentos, trabalho, capital, infraestrutura e outras capacidades de que necessitem para avançar, mediante colaboração voluntária e estruturada.</w:t>
      </w:r>
    </w:p>
    <w:p>
      <w:pPr>
        <w:pStyle w:val="Article"/>
      </w:pPr>
      <w:r>
        <w:t>O objeto do Gênesis abrange projetos econômicos e não econômicos, sem exigir que toda ideia resulte em empresa; o ponto de partida também pode ser um problema ainda sem solução.</w:t>
      </w:r>
    </w:p>
    <w:p>
      <w:pPr>
        <w:pStyle w:val="Heading2"/>
      </w:pPr>
      <w:r>
        <w:t>Art. 2 — Porta de entrada acessível</w:t>
      </w:r>
    </w:p>
    <w:p>
      <w:pPr>
        <w:pStyle w:val="Article"/>
      </w:pPr>
      <w:r>
        <w:t>A ausência de dinheiro, CNPJ, faturamento, empresa constituída, protótipo, equipe, experiência empresarial, rede de contatos, plano de negócios ou solução definida não impedirá, por si só, a apresentação de uma ideia, necessidade ou problema. O ingresso inicial e a apresentação de propostas não terão mensalidade nesta fase, ressalvada a possibilidade de condições específicas futuras previamente divulgadas.</w:t>
      </w:r>
    </w:p>
    <w:p>
      <w:pPr>
        <w:pStyle w:val="Heading2"/>
      </w:pPr>
      <w:r>
        <w:t>Art. 3 — Conteúdo mínimo de uma proposta</w:t>
      </w:r>
    </w:p>
    <w:p>
      <w:pPr>
        <w:pStyle w:val="Article"/>
      </w:pPr>
      <w:r>
        <w:t>Para o primeiro contato, basta identificar uma necessidade, ideia, problema ou oportunidade em linguagem simples e um meio de retorno. Não será obrigatória hipótese de solução, estudo de originalidade ou plano de negócios. Para eventual publicação, a administração poderá ajudar a construir descrição pública resumida e solicitar informações adicionais e autorização específica, sem expor detalhes reservados.</w:t>
      </w:r>
    </w:p>
    <w:p>
      <w:pPr>
        <w:pStyle w:val="Heading2"/>
      </w:pPr>
      <w:r>
        <w:t>Art. 4 — Oportunidade, não aprovação</w:t>
      </w:r>
    </w:p>
    <w:p>
      <w:pPr>
        <w:pStyle w:val="Article"/>
      </w:pPr>
      <w:r>
        <w:t>Toda proposta que respeite critérios previamente publicados poderá disputar atenção e encontrar colaboradores. Publicação não significa chancela de viabilidade, análise especializada, validação de mercado nem obrigação da comunidade de responder.</w:t>
      </w:r>
    </w:p>
    <w:p>
      <w:pPr>
        <w:pStyle w:val="Heading2"/>
      </w:pPr>
      <w:r>
        <w:t>Art. 5 — Evolução não linear</w:t>
      </w:r>
    </w:p>
    <w:p>
      <w:pPr>
        <w:pStyle w:val="Article"/>
      </w:pPr>
      <w:r>
        <w:t>As iniciativas podem ser questionadas, reformuladas, combinar novas abordagens, estacionar ou encerrar-se. Uma proposta que não receba apoio no momento não será automaticamente classificada como inviável.</w:t>
      </w:r>
    </w:p>
    <w:p>
      <w:pPr>
        <w:pStyle w:val="Eyebrow"/>
      </w:pPr>
      <w:r>
        <w:t>CAPÍTULO II</w:t>
      </w:r>
    </w:p>
    <w:p>
      <w:pPr>
        <w:pStyle w:val="Heading1"/>
      </w:pPr>
      <w:r>
        <w:t>Participantes e igualdade de respeito</w:t>
      </w:r>
    </w:p>
    <w:p>
      <w:pPr>
        <w:pStyle w:val="Heading2"/>
      </w:pPr>
      <w:r>
        <w:t>Art. 6 — Multiplicidade de papéis</w:t>
      </w:r>
    </w:p>
    <w:p>
      <w:pPr>
        <w:pStyle w:val="Article"/>
      </w:pPr>
      <w:r>
        <w:t>Podem participar pessoas que identificam problemas, idealizadores, colaboradores técnicos, profissionais, pesquisadores, mentores, apoiadores, investidores, gestores, empresas, organizações e instituições, conforme as regras específicas e a capacidade de atendimento. Uma mesma pessoa poderá exercer mais de um papel.</w:t>
      </w:r>
    </w:p>
    <w:p>
      <w:pPr>
        <w:pStyle w:val="Heading2"/>
      </w:pPr>
      <w:r>
        <w:t>Art. 7 — Igual dignidade; direitos distintos</w:t>
      </w:r>
    </w:p>
    <w:p>
      <w:pPr>
        <w:pStyle w:val="Article"/>
      </w:pPr>
      <w:r>
        <w:t>Nenhum papel possui superioridade moral ou prestígio institucional automático. Essa igualdade de respeito não implica remuneração idêntica, cotas iguais, mesmo poder decisório ou equivalência de risco e responsabilidade.</w:t>
      </w:r>
    </w:p>
    <w:p>
      <w:pPr>
        <w:pStyle w:val="Heading2"/>
      </w:pPr>
      <w:r>
        <w:t>Art. 8 — Compromisso e reciprocidade</w:t>
      </w:r>
    </w:p>
    <w:p>
      <w:pPr>
        <w:pStyle w:val="Article"/>
      </w:pPr>
      <w:r>
        <w:t>O projeto acolhe quem começa com poucos recursos, mas espera boa-fé, clareza sobre disponibilidade e respeito aos compromissos assumidos. Não existe obrigação geral de aportar tempo, capital ou serviços sem acordo específico.</w:t>
      </w:r>
    </w:p>
    <w:p>
      <w:pPr>
        <w:pStyle w:val="Eyebrow"/>
      </w:pPr>
      <w:r>
        <w:t>CAPÍTULO III</w:t>
      </w:r>
    </w:p>
    <w:p>
      <w:pPr>
        <w:pStyle w:val="Heading1"/>
      </w:pPr>
      <w:r>
        <w:t>Origem, transformação e contribuições</w:t>
      </w:r>
    </w:p>
    <w:p>
      <w:pPr>
        <w:pStyle w:val="Heading2"/>
      </w:pPr>
      <w:r>
        <w:t>Art. 9 — Registro de origem</w:t>
      </w:r>
    </w:p>
    <w:p>
      <w:pPr>
        <w:pStyle w:val="Article"/>
      </w:pPr>
      <w:r>
        <w:t>Sempre que possível, o ecossistema registrará quem apresentou inicialmente uma iniciativa e quando o fez. Essa atribuição é um dado de procedência e reconhecimento histórico, não uma declaração automática de titularidade exclusiva ou de autoria legalmente protegida.</w:t>
      </w:r>
    </w:p>
    <w:p>
      <w:pPr>
        <w:pStyle w:val="Heading2"/>
      </w:pPr>
      <w:r>
        <w:t>Art. 10 — Transformação colaborativa</w:t>
      </w:r>
    </w:p>
    <w:p>
      <w:pPr>
        <w:pStyle w:val="Article"/>
      </w:pPr>
      <w:r>
        <w:t>O desenvolvimento de uma proposta não apaga sua origem. Também não apaga a contribuição de quem pesquisou, questionou, desenhou, investiu, desenvolveu ou executou etapas posteriores. Alterações relevantes poderão compor seu histórico.</w:t>
      </w:r>
    </w:p>
    <w:p>
      <w:pPr>
        <w:pStyle w:val="Heading2"/>
      </w:pPr>
      <w:r>
        <w:t>Art. 11 — Visibilidade e reserva</w:t>
      </w:r>
    </w:p>
    <w:p>
      <w:pPr>
        <w:pStyle w:val="Article"/>
      </w:pPr>
      <w:r>
        <w:t>O idealizador poderá apresentar informações públicas e, quando houver meios operacionais, reservar detalhes estratégicos para pessoas autorizadas. O ecossistema não prometerá sigilo para informações publicadas abertamente.</w:t>
      </w:r>
    </w:p>
    <w:p>
      <w:pPr>
        <w:pStyle w:val="Eyebrow"/>
      </w:pPr>
      <w:r>
        <w:t>CAPÍTULO IV</w:t>
      </w:r>
    </w:p>
    <w:p>
      <w:pPr>
        <w:pStyle w:val="Heading1"/>
      </w:pPr>
      <w:r>
        <w:t>Colaboração responsável</w:t>
      </w:r>
    </w:p>
    <w:p>
      <w:pPr>
        <w:pStyle w:val="Heading2"/>
      </w:pPr>
      <w:r>
        <w:t>Art. 12 — Entrada voluntária</w:t>
      </w:r>
    </w:p>
    <w:p>
      <w:pPr>
        <w:pStyle w:val="Article"/>
      </w:pPr>
      <w:r>
        <w:t>Demonstrar interesse, seguir um perfil, comentar ou participar de uma conversa não transforma ninguém em sócio, contratado, credor ou colaborador obrigado a entregar serviços.</w:t>
      </w:r>
    </w:p>
    <w:p>
      <w:pPr>
        <w:pStyle w:val="Heading2"/>
      </w:pPr>
      <w:r>
        <w:t>Art. 13 — Acordo antes do trabalho</w:t>
      </w:r>
    </w:p>
    <w:p>
      <w:pPr>
        <w:pStyle w:val="Article"/>
      </w:pPr>
      <w:r>
        <w:t>Antes de uma contribuição substancial, as partes deverão definir, conforme o caso, atividade, entregáveis, prazo, aprovação, contrapartida ou sua ausência, acesso a informações, titularidade ou licença das entregas e condições de encerramento.</w:t>
      </w:r>
    </w:p>
    <w:p>
      <w:pPr>
        <w:pStyle w:val="Heading2"/>
      </w:pPr>
      <w:r>
        <w:t>Art. 14 — Registro verificável</w:t>
      </w:r>
    </w:p>
    <w:p>
      <w:pPr>
        <w:pStyle w:val="Article"/>
      </w:pPr>
      <w:r>
        <w:t>A operação registrará compromissos e entregas com indicação de participantes, datas, critérios de aceite e evidências pertinentes. Isso não pressupõe vigilância extensiva nem exposição pública de horas, documentos ou dados pessoais.</w:t>
      </w:r>
    </w:p>
    <w:p>
      <w:pPr>
        <w:pStyle w:val="Heading2"/>
      </w:pPr>
      <w:r>
        <w:t>Art. 15 — Validação de entregas</w:t>
      </w:r>
    </w:p>
    <w:p>
      <w:pPr>
        <w:pStyle w:val="Article"/>
      </w:pPr>
      <w:r>
        <w:t>A aceitação e a avaliação de contribuições observarão critérios conhecidos antes da execução sempre que possível. Divergências deverão admitir revisão, justificativa e registro, sem transformar a popularidade em medida automática de mérito.</w:t>
      </w:r>
    </w:p>
    <w:p>
      <w:pPr>
        <w:pStyle w:val="Eyebrow"/>
      </w:pPr>
      <w:r>
        <w:t>CAPÍTULO V</w:t>
      </w:r>
    </w:p>
    <w:p>
      <w:pPr>
        <w:pStyle w:val="Heading1"/>
      </w:pPr>
      <w:r>
        <w:t>Reconhecimento e participação econômica</w:t>
      </w:r>
    </w:p>
    <w:p>
      <w:pPr>
        <w:pStyle w:val="Heading2"/>
      </w:pPr>
      <w:r>
        <w:t>Art. 16 — Três dimensões independentes</w:t>
      </w:r>
    </w:p>
    <w:p>
      <w:pPr>
        <w:pStyle w:val="Article"/>
      </w:pPr>
      <w:r>
        <w:t>O Gênesis separará: (i) procedência da iniciativa; (ii) registro e reconhecimento de contribuições; e (iii) direitos econômicos ou societários. Uma dimensão não gera a outra automaticamente.</w:t>
      </w:r>
    </w:p>
    <w:p>
      <w:pPr>
        <w:pStyle w:val="Heading2"/>
      </w:pPr>
      <w:r>
        <w:t>Art. 17 — Créditos ainda não definidos</w:t>
      </w:r>
    </w:p>
    <w:p>
      <w:pPr>
        <w:pStyle w:val="Article"/>
      </w:pPr>
      <w:r>
        <w:t>Eventuais créditos poderão apoiar gestão ou reconhecimento, mas sua natureza, metodologia, critérios de emissão, prevenção de abusos e possibilidade de conversão permanecem em estudo. Não terão, nesta fase, valor financeiro, liquidez ou direito societário implícitos.</w:t>
      </w:r>
    </w:p>
    <w:p>
      <w:pPr>
        <w:pStyle w:val="Heading2"/>
      </w:pPr>
      <w:r>
        <w:t>Art. 18 — Contrapartidas claras</w:t>
      </w:r>
    </w:p>
    <w:p>
      <w:pPr>
        <w:pStyle w:val="Article"/>
      </w:pPr>
      <w:r>
        <w:t>Trabalho remunerado, colaboração voluntária, investimento, serviços prestados e participação futura exigem condições específicas e compatíveis com a legislação. Vesting, opções e outros mecanismos só serão usados após definição jurídica e econômica adequada.</w:t>
      </w:r>
    </w:p>
    <w:p>
      <w:pPr>
        <w:pStyle w:val="Heading2"/>
      </w:pPr>
      <w:r>
        <w:t>Art. 19 — Ausência de participação automática do Gênesis</w:t>
      </w:r>
    </w:p>
    <w:p>
      <w:pPr>
        <w:pStyle w:val="Article"/>
      </w:pPr>
      <w:r>
        <w:t>O simples uso do ecossistema não transfere ao Gênesis direitos sobre projetos, participações em sociedades nem receitas futuras. Qualquer obrigação econômica, licença ou participação exigirá fundamento próprio e manifestação expressa das partes.</w:t>
      </w:r>
    </w:p>
    <w:p>
      <w:pPr>
        <w:pStyle w:val="Eyebrow"/>
      </w:pPr>
      <w:r>
        <w:t>CAPÍTULO VI</w:t>
      </w:r>
    </w:p>
    <w:p>
      <w:pPr>
        <w:pStyle w:val="Heading1"/>
      </w:pPr>
      <w:r>
        <w:t>Confiança, cuidado e convivência</w:t>
      </w:r>
    </w:p>
    <w:p>
      <w:pPr>
        <w:pStyle w:val="Heading2"/>
      </w:pPr>
      <w:r>
        <w:t>Art. 20 — Conduta íntegra</w:t>
      </w:r>
    </w:p>
    <w:p>
      <w:pPr>
        <w:pStyle w:val="Article"/>
      </w:pPr>
      <w:r>
        <w:t>São incompatíveis com o ecossistema fraude, assédio, discriminação, manipulação de avaliações, falsidade sobre habilidades ou resultados, apropriação indevida de entregas, divulgação não autorizada de informações protegidas e ofertas enganosas.</w:t>
      </w:r>
    </w:p>
    <w:p>
      <w:pPr>
        <w:pStyle w:val="Heading2"/>
      </w:pPr>
      <w:r>
        <w:t>Art. 21 — Proteção proporcional</w:t>
      </w:r>
    </w:p>
    <w:p>
      <w:pPr>
        <w:pStyle w:val="Article"/>
      </w:pPr>
      <w:r>
        <w:t>A confidencialidade e a propriedade intelectual serão tratadas conforme as características de cada iniciativa e contribuição, sem presumir que um NDA protege qualquer ideia abstrata ou que o simples registro atribui monopólio sobre o conceito.</w:t>
      </w:r>
    </w:p>
    <w:p>
      <w:pPr>
        <w:pStyle w:val="Heading2"/>
      </w:pPr>
      <w:r>
        <w:t>Art. 22 — Dados e segurança</w:t>
      </w:r>
    </w:p>
    <w:p>
      <w:pPr>
        <w:pStyle w:val="Article"/>
      </w:pPr>
      <w:r>
        <w:t>Dados pessoais serão tratados com finalidade definida, informação adequada, acesso restrito quando necessário e medidas de segurança proporcionais ao risco. Publicações, documentos e históricos não serão indiscriminadamente expostos.</w:t>
      </w:r>
    </w:p>
    <w:p>
      <w:pPr>
        <w:pStyle w:val="Heading2"/>
      </w:pPr>
      <w:r>
        <w:t>Art. 23 — Moderação responsável</w:t>
      </w:r>
    </w:p>
    <w:p>
      <w:pPr>
        <w:pStyle w:val="Article"/>
      </w:pPr>
      <w:r>
        <w:t>O Gênesis poderá restringir conteúdo e acesso por motivos objetivos de segurança, legalidade e convivência, com comunicação da razão e possibilidade de contestação compatível com a estrutura operacional disponível.</w:t>
      </w:r>
    </w:p>
    <w:p>
      <w:pPr>
        <w:pStyle w:val="Heading2"/>
      </w:pPr>
      <w:r>
        <w:t>Art. 24 — Conflitos de interesse</w:t>
      </w:r>
    </w:p>
    <w:p>
      <w:pPr>
        <w:pStyle w:val="Article"/>
      </w:pPr>
      <w:r>
        <w:t>Quem decidir sobre moderação, avaliação ou benefícios de uma iniciativa deverá identificar situações relevantes de interesse próprio e, quando necessário, afastar-se da decisão ou submeter o caso a revisão independente.</w:t>
      </w:r>
    </w:p>
    <w:p>
      <w:pPr>
        <w:pStyle w:val="Heading2"/>
      </w:pPr>
      <w:r>
        <w:t>Art. 25 — Limites do papel institucional</w:t>
      </w:r>
    </w:p>
    <w:p>
      <w:pPr>
        <w:pStyle w:val="Article"/>
      </w:pPr>
      <w:r>
        <w:t>O Gênesis facilita encontros e processos, mas não atua automaticamente como garantidor, fiador, empregador, sócio, gestor ou representante das iniciativas. Cada relação deverá identificar seus responsáveis.</w:t>
      </w:r>
    </w:p>
    <w:p>
      <w:pPr>
        <w:pStyle w:val="Eyebrow"/>
      </w:pPr>
      <w:r>
        <w:t>CAPÍTULO VII</w:t>
      </w:r>
    </w:p>
    <w:p>
      <w:pPr>
        <w:pStyle w:val="Heading1"/>
      </w:pPr>
      <w:r>
        <w:t>Governança, alterações e responsabilidade</w:t>
      </w:r>
    </w:p>
    <w:p>
      <w:pPr>
        <w:pStyle w:val="Heading2"/>
      </w:pPr>
      <w:r>
        <w:t>Art. 26 — Gestão inicial</w:t>
      </w:r>
    </w:p>
    <w:p>
      <w:pPr>
        <w:pStyle w:val="Article"/>
      </w:pPr>
      <w:r>
        <w:t>No MVP, as decisões operacionais e a moderação serão conduzidas pelo idealizador ou por pessoas expressamente designadas. A expansão do ecossistema deverá motivar regras mais detalhadas de governança, transparência e revisão.</w:t>
      </w:r>
    </w:p>
    <w:p>
      <w:pPr>
        <w:pStyle w:val="Heading2"/>
      </w:pPr>
      <w:r>
        <w:t>Art. 27 — Rastreabilidade das decisões</w:t>
      </w:r>
    </w:p>
    <w:p>
      <w:pPr>
        <w:pStyle w:val="Article"/>
      </w:pPr>
      <w:r>
        <w:t>Decisões estruturais relevantes serão registradas em ADRs com problema, alternativas, fundamentos, responsável e data. Questões abertas não serão divulgadas como regras já aprovadas.</w:t>
      </w:r>
    </w:p>
    <w:p>
      <w:pPr>
        <w:pStyle w:val="Heading2"/>
      </w:pPr>
      <w:r>
        <w:t>Art. 28 — Mudanças responsáveis</w:t>
      </w:r>
    </w:p>
    <w:p>
      <w:pPr>
        <w:pStyle w:val="Article"/>
      </w:pPr>
      <w:r>
        <w:t>Esta Constituição poderá evoluir mediante publicação de nova versão e registro de alterações relevantes. Mudanças institucionais não poderão, por si sós, eliminar direitos já constituídos por lei ou contrato.</w:t>
      </w:r>
    </w:p>
    <w:p>
      <w:pPr>
        <w:pStyle w:val="Heading2"/>
      </w:pPr>
      <w:r>
        <w:t>Art. 29 — Regulamentação complementar</w:t>
      </w:r>
    </w:p>
    <w:p>
      <w:pPr>
        <w:pStyle w:val="Article"/>
      </w:pPr>
      <w:r>
        <w:t>Poderão ser editados Termos de Uso, Política de Privacidade, Código de Conduta, modelos contratuais e procedimentos específicos. Esses instrumentos deverão permanecer coerentes com os princípios, sem afastar normas imperativas.</w:t>
      </w:r>
    </w:p>
    <w:p>
      <w:pPr>
        <w:pStyle w:val="Heading2"/>
      </w:pPr>
      <w:r>
        <w:t>Art. 30 — Investimento e conformidade</w:t>
      </w:r>
    </w:p>
    <w:p>
      <w:pPr>
        <w:pStyle w:val="Article"/>
      </w:pPr>
      <w:r>
        <w:t>A apresentação de projetos ou a manifestação de interesse por investidores não autoriza, por si, oferta pública de valores mobiliários, captação intermediada ou promessa de retorno. Essas atividades dependerão de estrutura e enquadramento regulatório apropriados.</w:t>
      </w:r>
    </w:p>
    <w:p>
      <w:pPr>
        <w:pStyle w:val="Eyebrow"/>
      </w:pPr>
      <w:r>
        <w:t>CAPÍTULO VIII</w:t>
      </w:r>
    </w:p>
    <w:p>
      <w:pPr>
        <w:pStyle w:val="Heading1"/>
      </w:pPr>
      <w:r>
        <w:t>Primeira aplicação: Projeto #001</w:t>
      </w:r>
    </w:p>
    <w:p>
      <w:pPr>
        <w:pStyle w:val="Heading2"/>
      </w:pPr>
      <w:r>
        <w:t>Art. 31 — Primeira iniciativa</w:t>
      </w:r>
    </w:p>
    <w:p>
      <w:pPr>
        <w:pStyle w:val="Article"/>
      </w:pPr>
      <w:r>
        <w:t>O primeiro caso do ecossistema será a construção do próprio Gênesis. Sua proposta, documentos de fundação e necessidades serão apresentados publicamente, com abertura a contribuições reais.</w:t>
      </w:r>
    </w:p>
    <w:p>
      <w:pPr>
        <w:pStyle w:val="Heading2"/>
      </w:pPr>
      <w:r>
        <w:t>Art. 32 — Operação inicial</w:t>
      </w:r>
    </w:p>
    <w:p>
      <w:pPr>
        <w:pStyle w:val="Article"/>
      </w:pPr>
      <w:r>
        <w:t>O piloto poderá utilizar Instagram, site informativo, formulário de interesse e gestão manual. Todos os recursos divulgados como disponíveis deverão funcionar; a estética de obra em construção não deverá ocultar problemas de usabilidade ou segurança.</w:t>
      </w:r>
    </w:p>
    <w:p>
      <w:pPr>
        <w:pStyle w:val="Heading2"/>
      </w:pPr>
      <w:r>
        <w:t>Art. 33 — Provas necessárias</w:t>
      </w:r>
    </w:p>
    <w:p>
      <w:pPr>
        <w:pStyle w:val="Article"/>
      </w:pPr>
      <w:r>
        <w:t>O MVP buscará demonstrar que pessoas compreendem a proposta, manifestam interesse qualificado, assumem acordos claros, realizam entregas verificáveis e avaliam positivamente a experiência. Seguidores e curtidas, isoladamente, não constituem validação.</w:t>
      </w:r>
    </w:p>
    <w:p>
      <w:pPr>
        <w:pStyle w:val="Heading2"/>
      </w:pPr>
      <w:r>
        <w:t>Art. 34 — Autonomia das iniciativas</w:t>
      </w:r>
    </w:p>
    <w:p>
      <w:pPr>
        <w:pStyle w:val="Article"/>
      </w:pPr>
      <w:r>
        <w:t>O papel do Gênesis será facilitar avaliação, evolução e colaboração. Iniciativas de qualquer natureza, comerciais ou não, poderão ganhar autonomia e manter relação voluntária com a comunidade sem vínculo societário automático.</w:t>
      </w:r>
    </w:p>
    <w:p>
      <w:r>
        <w:br w:type="page"/>
      </w:r>
    </w:p>
    <w:p>
      <w:pPr>
        <w:pStyle w:val="Heading1"/>
      </w:pPr>
      <w:r>
        <w:t>Anexo I — Questões ainda não decididas</w:t>
      </w:r>
    </w:p>
    <w:p>
      <w:pPr>
        <w:pStyle w:val="Small"/>
      </w:pPr>
      <w:r>
        <w:t>Estas matérias exigem ADRs específicas antes da implantação. A Constituição estabelece limites, mas não antecipa suas respostas.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rPr>
          <w:cantSplit/>
        </w:trPr>
        <w:tc>
          <w:tcPr>
            <w:tcW w:type="dxa" w:w="2880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Publicação e curadoria</w:t>
            </w:r>
          </w:p>
        </w:tc>
        <w:tc>
          <w:tcPr>
            <w:tcW w:type="dxa" w:w="6768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Critérios de acesso, limites de conteúdo, orientação inicial e distribuição de visibilidade.</w:t>
            </w:r>
          </w:p>
        </w:tc>
      </w:tr>
      <w:tr>
        <w:trPr>
          <w:cantSplit/>
        </w:trPr>
        <w:tc>
          <w:tcPr>
            <w:tcW w:type="dxa" w:w="2880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Registro de contribuições</w:t>
            </w:r>
          </w:p>
        </w:tc>
        <w:tc>
          <w:tcPr>
            <w:tcW w:type="dxa" w:w="6768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Evidências, aprovação, reconhecimento e política de correções.</w:t>
            </w:r>
          </w:p>
        </w:tc>
      </w:tr>
      <w:tr>
        <w:trPr>
          <w:cantSplit/>
        </w:trPr>
        <w:tc>
          <w:tcPr>
            <w:tcW w:type="dxa" w:w="2880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Créditos e participação</w:t>
            </w:r>
          </w:p>
        </w:tc>
        <w:tc>
          <w:tcPr>
            <w:tcW w:type="dxa" w:w="6768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Natureza, método de valoração, conversão eventual e efeitos de diluição.</w:t>
            </w:r>
          </w:p>
        </w:tc>
      </w:tr>
      <w:tr>
        <w:trPr>
          <w:cantSplit/>
        </w:trPr>
        <w:tc>
          <w:tcPr>
            <w:tcW w:type="dxa" w:w="2880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Conflitos e governança</w:t>
            </w:r>
          </w:p>
        </w:tc>
        <w:tc>
          <w:tcPr>
            <w:tcW w:type="dxa" w:w="6768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Responsáveis, impedimentos, recursos, prazos e instâncias de revisão.</w:t>
            </w:r>
          </w:p>
        </w:tc>
      </w:tr>
      <w:tr>
        <w:trPr>
          <w:cantSplit/>
        </w:trPr>
        <w:tc>
          <w:tcPr>
            <w:tcW w:type="dxa" w:w="2880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Modelos contratuais</w:t>
            </w:r>
          </w:p>
        </w:tc>
        <w:tc>
          <w:tcPr>
            <w:tcW w:type="dxa" w:w="6768"/>
            <w:shd w:fill="F3F6F4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Acordos pré-constituição, confidencialidade, PI, remuneração e relação de trabalho.</w:t>
            </w:r>
          </w:p>
        </w:tc>
      </w:tr>
      <w:tr>
        <w:trPr>
          <w:cantSplit/>
        </w:trPr>
        <w:tc>
          <w:tcPr>
            <w:tcW w:type="dxa" w:w="2880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b/>
                <w:color w:val="133037"/>
                <w:sz w:val="18"/>
              </w:rPr>
              <w:t>Investimentos</w:t>
            </w:r>
          </w:p>
        </w:tc>
        <w:tc>
          <w:tcPr>
            <w:tcW w:type="dxa" w:w="6768"/>
            <w:shd w:fill="FFFFFF"/>
            <w:vAlign w:val="center"/>
          </w:tcPr>
          <w:p>
            <w:pPr>
              <w:pStyle w:val="Small"/>
              <w:spacing w:before="100" w:after="100"/>
            </w:pPr>
            <w:r>
              <w:rPr>
                <w:color w:val="1D282B"/>
                <w:sz w:val="18"/>
              </w:rPr>
              <w:t>Limites do piloto e eventual atuação direta ou por parceiros regulados.</w:t>
            </w:r>
          </w:p>
        </w:tc>
      </w:tr>
    </w:tbl>
    <w:p>
      <w:pPr>
        <w:pStyle w:val="Heading1"/>
      </w:pPr>
      <w:r>
        <w:t>Anexo II — Aplicação a situações reais</w:t>
      </w:r>
    </w:p>
    <w:p>
      <w:pPr>
        <w:spacing w:after="80"/>
      </w:pPr>
      <w:r>
        <w:rPr>
          <w:b/>
        </w:rPr>
        <w:t xml:space="preserve">Ideia sem resposta  —  </w:t>
      </w:r>
      <w:r>
        <w:t>Pode permanecer publicada ou ser arquivada segundo regras de gestão; ausência de interessados não prova falta de mérito.</w:t>
      </w:r>
    </w:p>
    <w:p>
      <w:pPr>
        <w:spacing w:after="80"/>
      </w:pPr>
      <w:r>
        <w:rPr>
          <w:b/>
        </w:rPr>
        <w:t xml:space="preserve">Proposta transformada  —  </w:t>
      </w:r>
      <w:r>
        <w:t>A origem permanece documentada; direitos sobre novas criações e compensações dependem de seus instrumentos próprios.</w:t>
      </w:r>
    </w:p>
    <w:p>
      <w:pPr>
        <w:spacing w:after="80"/>
      </w:pPr>
      <w:r>
        <w:rPr>
          <w:b/>
        </w:rPr>
        <w:t xml:space="preserve">Colaboração pontual  —  </w:t>
      </w:r>
      <w:r>
        <w:t>Uma revisão jurídica, uma pesquisa ou um design podem ser reconhecidos sem gerar automaticamente direito a participação societária.</w:t>
      </w:r>
    </w:p>
    <w:p>
      <w:pPr>
        <w:spacing w:after="80"/>
      </w:pPr>
      <w:r>
        <w:rPr>
          <w:b/>
        </w:rPr>
        <w:t xml:space="preserve">Aporte financeiro  —  </w:t>
      </w:r>
      <w:r>
        <w:t>Não equivale, por definição, a maior importância institucional; suas condições econômicas e legais devem ser pactuadas.</w:t>
      </w:r>
    </w:p>
    <w:p>
      <w:pPr>
        <w:spacing w:after="80"/>
      </w:pPr>
      <w:r>
        <w:rPr>
          <w:b/>
        </w:rPr>
        <w:t xml:space="preserve">Alegação de “roubo”  —  </w:t>
      </w:r>
      <w:r>
        <w:t>Registro de origem e trilha de acesso auxiliam a apuração, mas não garantem exclusividade sobre ideias abstratas.</w:t>
      </w:r>
    </w:p>
    <w:p>
      <w:pPr>
        <w:pStyle w:val="Heading1"/>
      </w:pPr>
      <w:r>
        <w:t>Notas jurídicas e fontes públicas</w:t>
      </w:r>
    </w:p>
    <w:p>
      <w:pPr>
        <w:pStyle w:val="Small"/>
      </w:pPr>
      <w:r>
        <w:t>A aplicação concreta dependerá da natureza jurídica, da jurisdição e dos contratos efetivamente celebrados. Pontos de referência brasileiros:</w:t>
      </w:r>
    </w:p>
    <w:p>
      <w:pPr>
        <w:pStyle w:val="Small"/>
        <w:spacing w:after="100"/>
        <w:ind w:left="202"/>
      </w:pPr>
      <w:r>
        <w:t>Lei 9.610/1998, art. 8º, I: ideias e conceitos abstratos não são, por si, protegidos por direito autoral. https://www2.camara.leg.br/legin/fed/lei/1998/lei-9610-19-fevereiro-1998-365399-normaatualizada-pl.html</w:t>
      </w:r>
    </w:p>
    <w:p>
      <w:pPr>
        <w:pStyle w:val="Small"/>
        <w:spacing w:after="100"/>
        <w:ind w:left="202"/>
      </w:pPr>
      <w:r>
        <w:t>Código Civil, art. 1.055, § 2º: na sociedade limitada, veda-se integralização de capital mediante prestação de serviços. https://www2.camara.leg.br/legin/fed/lei/2002/lei-10406-10-janeiro-2002-432893-normaatualizada-pl.html</w:t>
      </w:r>
    </w:p>
    <w:p>
      <w:pPr>
        <w:pStyle w:val="Small"/>
        <w:spacing w:after="100"/>
        <w:ind w:left="202"/>
      </w:pPr>
      <w:r>
        <w:t>CVM, Resolução 88/2022 e registro de plataforma de investimento participativo: https://www.gov.br/pt-br/servicos/registrar-plataforma-eletronica-de-investimento-participativo-cvm-crowdfunding</w:t>
      </w:r>
    </w:p>
    <w:p>
      <w:pPr>
        <w:pStyle w:val="Small"/>
        <w:spacing w:after="100"/>
        <w:ind w:left="202"/>
      </w:pPr>
      <w:r>
        <w:t>ANPD, orientações de segurança para agentes de pequeno porte e aplicação da LGPD: https://www.gov.br/anpd/pt-br/centrais-de-conteudo/materiais-educativos-e-publicacoes</w:t>
      </w:r>
    </w:p>
    <w:p>
      <w:pPr>
        <w:pStyle w:val="Small"/>
        <w:spacing w:before="180"/>
      </w:pPr>
      <w:r>
        <w:rPr>
          <w:b/>
          <w:color w:val="146A5B"/>
        </w:rPr>
        <w:t xml:space="preserve">PRÓXIMA PEÇA DO KIT  </w:t>
      </w:r>
      <w:r>
        <w:t>Documento 04 — Arquitetura Inicial: participantes, papéis, jornadas, necessidades e fluxo de colaboração no piloto.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224" w:right="1267" w:bottom="1080" w:left="1354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jc w:val="right"/>
    </w:pPr>
    <w:r>
      <w:t xml:space="preserve">PROJETO GÊNESIS   ·   OUTUBRO 2026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  <w:jc w:val="right"/>
      <w:pBdr>
        <w:bottom w:val="single" w:color="DEE7E2" w:sz="8" w:space="7"/>
      </w:pBdr>
    </w:pPr>
    <w:r>
      <w:t>GÊNESIS   /   KIT DE FUNDAÇÃO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ptos" w:hAnsi="Aptos"/>
      <w:color w:val="1D28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80"/>
      <w:outlineLvl w:val="0"/>
    </w:pPr>
    <w:rPr>
      <w:rFonts w:asciiTheme="majorHAnsi" w:eastAsiaTheme="majorEastAsia" w:hAnsiTheme="majorHAnsi" w:cstheme="majorBidi" w:ascii="Aptos" w:hAnsi="Aptos"/>
      <w:b/>
      <w:bCs/>
      <w:color w:val="13303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46A5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3303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keepNext/>
      <w:spacing w:after="160" w:line="271" w:lineRule="auto"/>
    </w:pPr>
    <w:rPr>
      <w:rFonts w:ascii="Aptos" w:hAnsi="Aptos"/>
      <w:b/>
      <w:color w:val="146A5B"/>
      <w:sz w:val="16"/>
    </w:rPr>
  </w:style>
  <w:style w:type="paragraph" w:customStyle="1" w:styleId="Lead">
    <w:name w:val="Lead"/>
    <w:pPr>
      <w:spacing w:after="160" w:line="271" w:lineRule="auto"/>
    </w:pPr>
    <w:rPr>
      <w:rFonts w:ascii="Aptos" w:hAnsi="Aptos"/>
      <w:color w:val="1D282B"/>
      <w:sz w:val="25"/>
    </w:rPr>
  </w:style>
  <w:style w:type="paragraph" w:customStyle="1" w:styleId="Small">
    <w:name w:val="Small"/>
    <w:pPr>
      <w:spacing w:after="160" w:line="271" w:lineRule="auto"/>
    </w:pPr>
    <w:rPr>
      <w:rFonts w:ascii="Aptos" w:hAnsi="Aptos"/>
      <w:color w:val="647376"/>
      <w:sz w:val="16"/>
    </w:rPr>
  </w:style>
  <w:style w:type="paragraph" w:customStyle="1" w:styleId="Statement">
    <w:name w:val="Statement"/>
    <w:pPr>
      <w:spacing w:after="160" w:line="288" w:lineRule="auto"/>
    </w:pPr>
    <w:rPr>
      <w:rFonts w:ascii="Aptos" w:hAnsi="Aptos"/>
      <w:b/>
      <w:color w:val="133037"/>
      <w:sz w:val="30"/>
    </w:rPr>
  </w:style>
  <w:style w:type="paragraph" w:customStyle="1" w:styleId="Article">
    <w:name w:val="Article"/>
    <w:pPr>
      <w:spacing w:after="140" w:line="271" w:lineRule="auto"/>
    </w:pPr>
    <w:rPr>
      <w:rFonts w:ascii="Aptos" w:hAnsi="Aptos"/>
      <w:color w:val="1D282B"/>
      <w:sz w:val="20"/>
    </w:rPr>
  </w:style>
  <w:style w:type="paragraph" w:customStyle="1" w:styleId="Kicker">
    <w:name w:val="Kicker"/>
    <w:pPr>
      <w:keepNext/>
      <w:spacing w:after="160" w:line="271" w:lineRule="auto"/>
    </w:pPr>
    <w:rPr>
      <w:rFonts w:ascii="Aptos" w:hAnsi="Aptos"/>
      <w:b/>
      <w:color w:val="AE79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Constituição do Ecossistema — Projeto Gênesis</dc:title>
  <dc:subject>Kit de Fundação, Documento 03 — versão para deliberação</dc:subject>
  <dc:creator>Projeto Gênesis</dc:creator>
  <cp:keywords/>
  <dc:description>Documento estratégico não contratual; minuta para revisão.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