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DOCUMENTO 05  /  PROJETO #001</w:t>
      </w:r>
    </w:p>
    <w:p>
      <w:pPr>
        <w:pStyle w:val="Title"/>
      </w:pPr>
      <w:r>
        <w:t>Plano Operacional do MVP</w:t>
      </w:r>
    </w:p>
    <w:p>
      <w:pPr/>
      <w:r>
        <w:rPr>
          <w:b/>
        </w:rPr>
        <w:t>A primeira iniciativa do Gênesis é construir o próprio Gênesis.</w:t>
      </w:r>
    </w:p>
    <w:p>
      <w:pPr>
        <w:pStyle w:val="Small"/>
      </w:pPr>
      <w:r>
        <w:t>Versão 0.3  ·  11 de outubro de 2026  ·  Brasil  ·  Revisão de escopo: acolhimento de outras iniciativas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vAlign w:val="center"/>
            <w:shd w:fill="EAF5F2"/>
          </w:tcPr>
          <w:p>
            <w:pPr>
              <w:spacing w:after="40"/>
            </w:pPr>
            <w:r>
              <w:rPr>
                <w:b/>
                <w:color w:val="14736A"/>
                <w:sz w:val="16"/>
              </w:rPr>
              <w:t>DECISÃO DE PARTIDA</w:t>
            </w:r>
          </w:p>
          <w:p>
            <w:pPr>
              <w:spacing w:after="40"/>
            </w:pPr>
            <w:r>
              <w:t>O piloto será um serviço assistido por pessoas e ferramentas existentes — Instagram, site público, formulários e registros internos. Não haverá software proprietário, emissão de créditos financeiros nem captação pública de investimentos no lançamento.</w:t>
            </w:r>
          </w:p>
        </w:tc>
      </w:tr>
    </w:tbl>
    <w:p>
      <w:pPr>
        <w:spacing w:after="0"/>
      </w:pPr>
    </w:p>
    <w:p>
      <w:pPr>
        <w:pStyle w:val="Heading1"/>
      </w:pPr>
      <w:r>
        <w:t>Resumo executivo</w:t>
      </w:r>
    </w:p>
    <w:p>
      <w:pPr>
        <w:pStyle w:val="Small"/>
      </w:pPr>
      <w:r>
        <w:t>ATUALIZAÇÃO DE POSICIONAMENTO — A GEN-001 continua prioritária, mas ideias e problemas de terceiros podem ser apresentados desde o lançamento, mesmo sem solução definida, CNPJ, faturamento, MVP ou empresa. A apresentação inicial e a manifestação de interesse não terão mensalidade nesta fase. O atendimento dependerá da capacidade e poderá ser apenas orientativo.</w:t>
      </w:r>
    </w:p>
    <w:p>
      <w:r>
        <w:t>O MVP verificará se o Gênesis consegue transformar interesse de desconhecidos em colaboração executada, com escopo, compromissos, reconhecimento e cuidados proporcionais de confiança. A construção do próprio Gênesis será o primeiro caso prático, sem exclusividade: outras iniciativas poderão ser recebidas e acompanhadas quando houver capacidade operacional e condições de segurança. O Gênesis não será apresentado como plataforma pronta.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030"/>
      </w:tblGrid>
      <w:tr>
        <w:trPr>
          <w:cantSplit/>
          <w:tblHeader w:val="true"/>
        </w:trPr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Definição para o piloto</w:t>
            </w:r>
          </w:p>
        </w:tc>
      </w:tr>
      <w:tr>
        <w:trPr>
          <w:cantSplit/>
        </w:trPr>
        <w:tc>
          <w:tcPr>
            <w:tcW w:type="dxa" w:w="249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Primeira iniciativa</w:t>
            </w:r>
          </w:p>
        </w:tc>
        <w:tc>
          <w:tcPr>
            <w:tcW w:type="dxa" w:w="703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GEN-001 — Construção do Projeto Gênesis</w:t>
            </w:r>
          </w:p>
        </w:tc>
      </w:tr>
      <w:tr>
        <w:trPr>
          <w:cantSplit/>
        </w:trPr>
        <w:tc>
          <w:tcPr>
            <w:tcW w:type="dxa" w:w="249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Público inaugural</w:t>
            </w:r>
          </w:p>
        </w:tc>
        <w:tc>
          <w:tcPr>
            <w:tcW w:type="dxa" w:w="703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Idealizadores interessados, profissionais complementares, parceiros, pesquisadores, potenciais apoiadores</w:t>
            </w:r>
          </w:p>
        </w:tc>
      </w:tr>
      <w:tr>
        <w:trPr>
          <w:cantSplit/>
        </w:trPr>
        <w:tc>
          <w:tcPr>
            <w:tcW w:type="dxa" w:w="249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Oferta inicial</w:t>
            </w:r>
          </w:p>
        </w:tc>
        <w:tc>
          <w:tcPr>
            <w:tcW w:type="dxa" w:w="703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Conhecer a proposta, enviar sugestões, apresentar ideias, candidatar-se a necessidades e acompanhar entregas autorizadas</w:t>
            </w:r>
          </w:p>
        </w:tc>
      </w:tr>
      <w:tr>
        <w:trPr>
          <w:cantSplit/>
        </w:trPr>
        <w:tc>
          <w:tcPr>
            <w:tcW w:type="dxa" w:w="249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Canais</w:t>
            </w:r>
          </w:p>
        </w:tc>
        <w:tc>
          <w:tcPr>
            <w:tcW w:type="dxa" w:w="703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Instagram (descoberta) + site (referência) + formulário (entrada) + planilha privada (operação)</w:t>
            </w:r>
          </w:p>
        </w:tc>
      </w:tr>
      <w:tr>
        <w:trPr>
          <w:cantSplit/>
        </w:trPr>
        <w:tc>
          <w:tcPr>
            <w:tcW w:type="dxa" w:w="249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Duração de teste</w:t>
            </w:r>
          </w:p>
        </w:tc>
        <w:tc>
          <w:tcPr>
            <w:tcW w:type="dxa" w:w="703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30 dias desde a publicação; decisão formal de continuar, ajustar ou interromper ao final</w:t>
            </w:r>
          </w:p>
        </w:tc>
      </w:tr>
      <w:tr>
        <w:trPr>
          <w:cantSplit/>
        </w:trPr>
        <w:tc>
          <w:tcPr>
            <w:tcW w:type="dxa" w:w="249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Responsável inicial</w:t>
            </w:r>
          </w:p>
        </w:tc>
        <w:tc>
          <w:tcPr>
            <w:tcW w:type="dxa" w:w="703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Idealizador: curadoria, orientação de propostas, acordos e registro; sem criar ficção de equipe formada</w:t>
            </w:r>
          </w:p>
        </w:tc>
      </w:tr>
      <w:tr>
        <w:trPr>
          <w:cantSplit/>
        </w:trPr>
        <w:tc>
          <w:tcPr>
            <w:tcW w:type="dxa" w:w="249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Resultado mínimo</w:t>
            </w:r>
          </w:p>
        </w:tc>
        <w:tc>
          <w:tcPr>
            <w:tcW w:type="dxa" w:w="703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Ao menos uma entrega colaborativa aceita na GEN-001 e registro verificável de propostas externas acolhidas/orientadas (se recebidas)</w:t>
            </w:r>
          </w:p>
        </w:tc>
      </w:tr>
    </w:tbl>
    <w:p>
      <w:pPr>
        <w:spacing w:after="20"/>
      </w:pPr>
    </w:p>
    <w:p>
      <w:pPr>
        <w:pStyle w:val="Heading1"/>
      </w:pPr>
      <w:r>
        <w:t>1. Hipóteses que precisamos testar</w:t>
      </w:r>
    </w:p>
    <w:p>
      <w:pPr>
        <w:pStyle w:val="ListBullet"/>
        <w:spacing w:after="60"/>
      </w:pPr>
      <w:r>
        <w:t>H1 — Interesse real: Pessoas além do círculo próximo demonstram interesse específico em contribuir ou apresentar iniciativas.</w:t>
      </w:r>
    </w:p>
    <w:p>
      <w:pPr>
        <w:pStyle w:val="ListBullet"/>
        <w:spacing w:after="60"/>
      </w:pPr>
      <w:r>
        <w:t>H2 — Confiança suficiente: Interessados aceitam avançar de um primeiro contato para um compromisso concreto e documentado.</w:t>
      </w:r>
    </w:p>
    <w:p>
      <w:pPr>
        <w:pStyle w:val="ListBullet"/>
        <w:spacing w:after="60"/>
      </w:pPr>
      <w:r>
        <w:t>H3 — Processo de acolhimento: É possível orientar propostas incompletas sem rejeitá-las por falta de habilidade de apresentação.</w:t>
      </w:r>
    </w:p>
    <w:p>
      <w:pPr>
        <w:pStyle w:val="ListBullet"/>
        <w:spacing w:after="60"/>
      </w:pPr>
      <w:r>
        <w:t>H4 — Execução: Ao menos uma necessidade do Gênesis produz entrega verificável, útil e aceita.</w:t>
      </w:r>
    </w:p>
    <w:p>
      <w:pPr>
        <w:pStyle w:val="ListBullet"/>
        <w:spacing w:after="60"/>
      </w:pPr>
      <w:r>
        <w:t>H5 — Operação sustentável: O fundador consegue administrar o fluxo manualmente, ou identifica com clareza qual função precisa delegar primeiro.</w:t>
      </w:r>
    </w:p>
    <w:p>
      <w:pPr>
        <w:pStyle w:val="Small"/>
      </w:pPr>
      <w:r>
        <w:t>Atenção: curtidas, seguidores e manifestações genéricas de apoio não comprovam H2, H3 ou H4.</w:t>
      </w:r>
    </w:p>
    <w:p>
      <w:pPr>
        <w:pStyle w:val="Heading1"/>
      </w:pPr>
      <w:r>
        <w:t>2. Escopo: o que existirá — e o que não existirá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  <w:tblHeader w:val="true"/>
        </w:trPr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No lançamento</w:t>
            </w:r>
          </w:p>
        </w:tc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Fora do lançamento</w:t>
            </w:r>
          </w:p>
        </w:tc>
      </w:tr>
      <w:tr>
        <w:trPr>
          <w:cantSplit/>
        </w:trPr>
        <w:tc>
          <w:tcPr>
            <w:tcW w:type="dxa" w:w="476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Site claro com documentos públicos e status do projeto</w:t>
            </w:r>
          </w:p>
        </w:tc>
        <w:tc>
          <w:tcPr>
            <w:tcW w:type="dxa" w:w="476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Plataforma de cadastro completo de startups</w:t>
            </w:r>
          </w:p>
        </w:tc>
      </w:tr>
      <w:tr>
        <w:trPr>
          <w:cantSplit/>
        </w:trPr>
        <w:tc>
          <w:tcPr>
            <w:tcW w:type="dxa" w:w="476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Página da GEN-001 e necessidades objetivas</w:t>
            </w:r>
          </w:p>
        </w:tc>
        <w:tc>
          <w:tcPr>
            <w:tcW w:type="dxa" w:w="476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Matching automatizado, reputação algorítmica, chat interno</w:t>
            </w:r>
          </w:p>
        </w:tc>
      </w:tr>
      <w:tr>
        <w:trPr>
          <w:cantSplit/>
        </w:trPr>
        <w:tc>
          <w:tcPr>
            <w:tcW w:type="dxa" w:w="476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Formulário de colaboração + sugestões</w:t>
            </w:r>
          </w:p>
        </w:tc>
        <w:tc>
          <w:tcPr>
            <w:tcW w:type="dxa" w:w="476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Créditos com valor patrimonial ou societário</w:t>
            </w:r>
          </w:p>
        </w:tc>
      </w:tr>
      <w:tr>
        <w:trPr>
          <w:cantSplit/>
        </w:trPr>
        <w:tc>
          <w:tcPr>
            <w:tcW w:type="dxa" w:w="476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Orientação manual quando faltar informação</w:t>
            </w:r>
          </w:p>
        </w:tc>
        <w:tc>
          <w:tcPr>
            <w:tcW w:type="dxa" w:w="476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Análise de mérito, garantia de viabilidade ou retorno</w:t>
            </w:r>
          </w:p>
        </w:tc>
      </w:tr>
      <w:tr>
        <w:trPr>
          <w:cantSplit/>
        </w:trPr>
        <w:tc>
          <w:tcPr>
            <w:tcW w:type="dxa" w:w="476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Registro privado de propostas, acordos e entregas</w:t>
            </w:r>
          </w:p>
        </w:tc>
        <w:tc>
          <w:tcPr>
            <w:tcW w:type="dxa" w:w="476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Intermediação pública de investimentos e recebimento de aportes</w:t>
            </w:r>
          </w:p>
        </w:tc>
      </w:tr>
      <w:tr>
        <w:trPr>
          <w:cantSplit/>
        </w:trPr>
        <w:tc>
          <w:tcPr>
            <w:tcW w:type="dxa" w:w="476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Formulário para receber ideias de terceiros, com retorno e orientação manual</w:t>
            </w:r>
          </w:p>
        </w:tc>
        <w:tc>
          <w:tcPr>
            <w:tcW w:type="dxa" w:w="476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Prometer atendimento intensivo ou publicação imediata sem estrutura disponível</w:t>
            </w:r>
          </w:p>
        </w:tc>
      </w:tr>
    </w:tbl>
    <w:p>
      <w:pPr>
        <w:spacing w:after="20"/>
      </w:pPr>
    </w:p>
    <w:p>
      <w:r>
        <w:t>Regra do piloto: a GEN-001 será a iniciativa inaugural, mas não terá exclusividade. Desde o lançamento, outras pessoas poderão apresentar ideias. Toda proposta receberá acolhimento e, quando necessário, orientação para complementação, respeitada a capacidade de resposta divulgada. Uma ideia apta poderá ser publicada ou acompanhada no mesmo ciclo se houver estrutura para fazê-lo; quando não houver, será registrada para atendimento posterior, sem rejeição por falta de recursos ou habilidade de apresentação. Não prometer execução, publicação imediata ou equipe para todos.</w:t>
      </w:r>
    </w:p>
    <w:p>
      <w:pPr>
        <w:pStyle w:val="Heading1"/>
      </w:pPr>
      <w:r>
        <w:t>3. Experiência pública: site inaugural</w:t>
      </w:r>
    </w:p>
    <w:p>
      <w:r>
        <w:t>O site deve parecer “em construção” visualmente e ser inteiramente funcional naquilo que oferece. A metáfora dos tijolos faltantes servirá para mostrar etapas abertas à colaboração; não para esconder falhas de navegação.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257"/>
      </w:tblGrid>
      <w:tr>
        <w:trPr>
          <w:cantSplit/>
          <w:tblHeader w:val="true"/>
        </w:trPr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Bloco da página</w:t>
            </w:r>
          </w:p>
        </w:tc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Mensagem / ação esperada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Abertura</w:t>
            </w:r>
          </w:p>
        </w:tc>
        <w:tc>
          <w:tcPr>
            <w:tcW w:type="dxa" w:w="7257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“Grandes ideias não deveriam morrer por falta de recursos.” / botão: Conheça o Projeto #001</w:t>
            </w:r>
          </w:p>
        </w:tc>
      </w:tr>
      <w:tr>
        <w:trPr>
          <w:cantSplit/>
        </w:trPr>
        <w:tc>
          <w:tcPr>
            <w:tcW w:type="dxa" w:w="226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Origem</w:t>
            </w:r>
          </w:p>
        </w:tc>
        <w:tc>
          <w:tcPr>
            <w:tcW w:type="dxa" w:w="7257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Dor real do idealizador, expressa em linguagem simples; sem exagerar validação de mercado.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Nossa fundação</w:t>
            </w:r>
          </w:p>
        </w:tc>
        <w:tc>
          <w:tcPr>
            <w:tcW w:type="dxa" w:w="7257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Cartas/documentos 01 a 04 em formato resumido; versão, data e indicação do que segue em discussão.</w:t>
            </w:r>
          </w:p>
        </w:tc>
      </w:tr>
      <w:tr>
        <w:trPr>
          <w:cantSplit/>
        </w:trPr>
        <w:tc>
          <w:tcPr>
            <w:tcW w:type="dxa" w:w="226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Projeto #001</w:t>
            </w:r>
          </w:p>
        </w:tc>
        <w:tc>
          <w:tcPr>
            <w:tcW w:type="dxa" w:w="7257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Objetivo, estágio, entregas já existentes, próximas necessidades e quem as coordena.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Participe</w:t>
            </w:r>
          </w:p>
        </w:tc>
        <w:tc>
          <w:tcPr>
            <w:tcW w:type="dxa" w:w="7257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Três rotas: “Quero colaborar”, “Quero sugerir uma melhoria” e “Quero apresentar minha ideia”. A gestão informa capacidade de acompanhamento e prazos realistas.</w:t>
            </w:r>
          </w:p>
        </w:tc>
      </w:tr>
      <w:tr>
        <w:trPr>
          <w:cantSplit/>
        </w:trPr>
        <w:tc>
          <w:tcPr>
            <w:tcW w:type="dxa" w:w="226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Muro em construção</w:t>
            </w:r>
          </w:p>
        </w:tc>
        <w:tc>
          <w:tcPr>
            <w:tcW w:type="dxa" w:w="7257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Tijolos concluídos, em discussão e a construir; próximos passos atualizados ao menos semanalmente.</w:t>
            </w:r>
          </w:p>
        </w:tc>
      </w:tr>
      <w:tr>
        <w:trPr>
          <w:cantSplit/>
        </w:trPr>
        <w:tc>
          <w:tcPr>
            <w:tcW w:type="dxa" w:w="226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Rodapé</w:t>
            </w:r>
          </w:p>
        </w:tc>
        <w:tc>
          <w:tcPr>
            <w:tcW w:type="dxa" w:w="7257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Canal de contato, aviso de privacidade, regras essenciais de participação, data de atualização.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vAlign w:val="center"/>
            <w:shd w:fill="EAF5F2"/>
          </w:tcPr>
          <w:p>
            <w:pPr>
              <w:spacing w:after="40"/>
            </w:pPr>
            <w:r>
              <w:rPr>
                <w:b/>
                <w:color w:val="14736A"/>
                <w:sz w:val="16"/>
              </w:rPr>
              <w:t>TEXTO CURTO DO CONVITE</w:t>
            </w:r>
          </w:p>
          <w:p>
            <w:pPr>
              <w:spacing w:after="40"/>
            </w:pPr>
            <w:r>
              <w:t>“Este é o primeiro projeto do Gênesis: criar o próprio Gênesis. Já temos uma base conceitual, documentos e decisões. Buscamos pessoas que queiram contribuir para validar, melhorar e construir o que falta.”</w:t>
            </w:r>
          </w:p>
        </w:tc>
      </w:tr>
    </w:tbl>
    <w:p>
      <w:pPr>
        <w:spacing w:after="0"/>
      </w:pPr>
    </w:p>
    <w:p>
      <w:pPr>
        <w:pStyle w:val="Heading1"/>
      </w:pPr>
      <w:r>
        <w:t>4. Instagram: função e primeira campanha</w:t>
      </w:r>
    </w:p>
    <w:p>
      <w:r>
        <w:t>Função: alcançar pessoas com experiências complementares, explicar o método sem prometer que já funciona e conduzir interessados ao site. O Instagram não será o arquivo principal da iniciativa, nem o canal exclusivo de acordos.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3572"/>
        <w:gridCol w:w="2948"/>
      </w:tblGrid>
      <w:tr>
        <w:trPr>
          <w:cantSplit/>
          <w:tblHeader w:val="true"/>
        </w:trPr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Conteúdo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Objetivo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Chamada</w:t>
            </w:r>
          </w:p>
        </w:tc>
      </w:tr>
      <w:tr>
        <w:trPr>
          <w:cantSplit/>
        </w:trPr>
        <w:tc>
          <w:tcPr>
            <w:tcW w:type="dxa" w:w="300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Publicação 1 — Por que o Gênesis nasceu</w:t>
            </w:r>
          </w:p>
        </w:tc>
        <w:tc>
          <w:tcPr>
            <w:tcW w:type="dxa" w:w="357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Apresentar a dor e a iniciativa #001</w:t>
            </w:r>
          </w:p>
        </w:tc>
        <w:tc>
          <w:tcPr>
            <w:tcW w:type="dxa" w:w="294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Conheça a fundação no site.</w:t>
            </w:r>
          </w:p>
        </w:tc>
      </w:tr>
      <w:tr>
        <w:trPr>
          <w:cantSplit/>
        </w:trPr>
        <w:tc>
          <w:tcPr>
            <w:tcW w:type="dxa" w:w="300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Publicação 2 — O que já existe</w:t>
            </w:r>
          </w:p>
        </w:tc>
        <w:tc>
          <w:tcPr>
            <w:tcW w:type="dxa" w:w="357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Mostrar documento, conceito e decisões reais</w:t>
            </w:r>
          </w:p>
        </w:tc>
        <w:tc>
          <w:tcPr>
            <w:tcW w:type="dxa" w:w="294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Veja o que está definido e em aberto.</w:t>
            </w:r>
          </w:p>
        </w:tc>
      </w:tr>
      <w:tr>
        <w:trPr>
          <w:cantSplit/>
        </w:trPr>
        <w:tc>
          <w:tcPr>
            <w:tcW w:type="dxa" w:w="300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Publicação 3 — De que ajuda precisamos</w:t>
            </w:r>
          </w:p>
        </w:tc>
        <w:tc>
          <w:tcPr>
            <w:tcW w:type="dxa" w:w="357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Apresentar duas ou três necessidades específicas</w:t>
            </w:r>
          </w:p>
        </w:tc>
        <w:tc>
          <w:tcPr>
            <w:tcW w:type="dxa" w:w="294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Ofereça sua contribuição.</w:t>
            </w:r>
          </w:p>
        </w:tc>
      </w:tr>
      <w:tr>
        <w:trPr>
          <w:cantSplit/>
        </w:trPr>
        <w:tc>
          <w:tcPr>
            <w:tcW w:type="dxa" w:w="300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Publicação 4 — Como colaborar com segurança</w:t>
            </w:r>
          </w:p>
        </w:tc>
        <w:tc>
          <w:tcPr>
            <w:tcW w:type="dxa" w:w="357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Esclarecer que acordos vêm antes de trabalho e equity não é automática</w:t>
            </w:r>
          </w:p>
        </w:tc>
        <w:tc>
          <w:tcPr>
            <w:tcW w:type="dxa" w:w="294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Entenda como funciona.</w:t>
            </w:r>
          </w:p>
        </w:tc>
      </w:tr>
      <w:tr>
        <w:trPr>
          <w:cantSplit/>
        </w:trPr>
        <w:tc>
          <w:tcPr>
            <w:tcW w:type="dxa" w:w="300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Atualização semanal</w:t>
            </w:r>
          </w:p>
        </w:tc>
        <w:tc>
          <w:tcPr>
            <w:tcW w:type="dxa" w:w="357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Divulgar entregas reais e lições, sempre com autorização</w:t>
            </w:r>
          </w:p>
        </w:tc>
        <w:tc>
          <w:tcPr>
            <w:tcW w:type="dxa" w:w="294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Acompanhe a construção.</w:t>
            </w:r>
          </w:p>
        </w:tc>
      </w:tr>
    </w:tbl>
    <w:p>
      <w:pPr>
        <w:spacing w:after="20"/>
      </w:pPr>
    </w:p>
    <w:p>
      <w:pPr>
        <w:pStyle w:val="Small"/>
      </w:pPr>
      <w:r>
        <w:t>Não usar depoimentos inventados, contadores fictícios, promessas de “sociedade garantida” ou anúncios de financiamento antes de adequado enquadramento jurídico.</w:t>
      </w:r>
    </w:p>
    <w:p>
      <w:pPr>
        <w:pStyle w:val="Heading1"/>
      </w:pPr>
      <w:r>
        <w:t>5. Primeiras necessidades da GEN-001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2154"/>
        <w:gridCol w:w="3969"/>
        <w:gridCol w:w="2608"/>
      </w:tblGrid>
      <w:tr>
        <w:trPr>
          <w:cantSplit/>
          <w:tblHeader w:val="true"/>
        </w:trPr>
        <w:tc>
          <w:tcPr>
            <w:tcW w:type="dxa" w:w="2381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Prioridade</w:t>
            </w:r>
          </w:p>
        </w:tc>
        <w:tc>
          <w:tcPr>
            <w:tcW w:type="dxa" w:w="2381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Necessidade</w:t>
            </w:r>
          </w:p>
        </w:tc>
        <w:tc>
          <w:tcPr>
            <w:tcW w:type="dxa" w:w="2381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Entregável pequeno e verificável</w:t>
            </w:r>
          </w:p>
        </w:tc>
        <w:tc>
          <w:tcPr>
            <w:tcW w:type="dxa" w:w="2381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Condição de entrada</w:t>
            </w:r>
          </w:p>
        </w:tc>
      </w:tr>
      <w:tr>
        <w:trPr>
          <w:cantSplit/>
        </w:trPr>
        <w:tc>
          <w:tcPr>
            <w:tcW w:type="dxa" w:w="79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1</w:t>
            </w:r>
          </w:p>
        </w:tc>
        <w:tc>
          <w:tcPr>
            <w:tcW w:type="dxa" w:w="215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Identidade visual</w:t>
            </w:r>
          </w:p>
        </w:tc>
        <w:tc>
          <w:tcPr>
            <w:tcW w:type="dxa" w:w="3969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Marca provisória, duas aplicações e guia visual básico</w:t>
            </w:r>
          </w:p>
        </w:tc>
        <w:tc>
          <w:tcPr>
            <w:tcW w:type="dxa" w:w="260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Briefing e definição dos direitos sobre o material</w:t>
            </w:r>
          </w:p>
        </w:tc>
      </w:tr>
      <w:tr>
        <w:trPr>
          <w:cantSplit/>
        </w:trPr>
        <w:tc>
          <w:tcPr>
            <w:tcW w:type="dxa" w:w="79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1</w:t>
            </w:r>
          </w:p>
        </w:tc>
        <w:tc>
          <w:tcPr>
            <w:tcW w:type="dxa" w:w="215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Pesquisa de usuários</w:t>
            </w:r>
          </w:p>
        </w:tc>
        <w:tc>
          <w:tcPr>
            <w:tcW w:type="dxa" w:w="3969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5 entrevistas estruturadas e síntese de descobertas</w:t>
            </w:r>
          </w:p>
        </w:tc>
        <w:tc>
          <w:tcPr>
            <w:tcW w:type="dxa" w:w="260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Aprovar roteiro, proteção de dados e escopo</w:t>
            </w:r>
          </w:p>
        </w:tc>
      </w:tr>
      <w:tr>
        <w:trPr>
          <w:cantSplit/>
        </w:trPr>
        <w:tc>
          <w:tcPr>
            <w:tcW w:type="dxa" w:w="79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1</w:t>
            </w:r>
          </w:p>
        </w:tc>
        <w:tc>
          <w:tcPr>
            <w:tcW w:type="dxa" w:w="215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Site inaugural</w:t>
            </w:r>
          </w:p>
        </w:tc>
        <w:tc>
          <w:tcPr>
            <w:tcW w:type="dxa" w:w="3969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Página responsiva no serviço escolhido, com CTAs e formulários testados</w:t>
            </w:r>
          </w:p>
        </w:tc>
        <w:tc>
          <w:tcPr>
            <w:tcW w:type="dxa" w:w="260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Definir acessos, responsabilidade e titularidade</w:t>
            </w:r>
          </w:p>
        </w:tc>
      </w:tr>
      <w:tr>
        <w:trPr>
          <w:cantSplit/>
        </w:trPr>
        <w:tc>
          <w:tcPr>
            <w:tcW w:type="dxa" w:w="79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2</w:t>
            </w:r>
          </w:p>
        </w:tc>
        <w:tc>
          <w:tcPr>
            <w:tcW w:type="dxa" w:w="215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Conteúdo e divulgação</w:t>
            </w:r>
          </w:p>
        </w:tc>
        <w:tc>
          <w:tcPr>
            <w:tcW w:type="dxa" w:w="3969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Calendário de 14 dias + peças iniciais publicáveis</w:t>
            </w:r>
          </w:p>
        </w:tc>
        <w:tc>
          <w:tcPr>
            <w:tcW w:type="dxa" w:w="260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Aprovação editorial e de uso de imagem</w:t>
            </w:r>
          </w:p>
        </w:tc>
      </w:tr>
      <w:tr>
        <w:trPr>
          <w:cantSplit/>
        </w:trPr>
        <w:tc>
          <w:tcPr>
            <w:tcW w:type="dxa" w:w="79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2</w:t>
            </w:r>
          </w:p>
        </w:tc>
        <w:tc>
          <w:tcPr>
            <w:tcW w:type="dxa" w:w="2154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Organização da comunidade</w:t>
            </w:r>
          </w:p>
        </w:tc>
        <w:tc>
          <w:tcPr>
            <w:tcW w:type="dxa" w:w="3969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Planilha operacional e rotina semanal de acompanhamento</w:t>
            </w:r>
          </w:p>
        </w:tc>
        <w:tc>
          <w:tcPr>
            <w:tcW w:type="dxa" w:w="260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Permissões mínimas e dever de reserva</w:t>
            </w:r>
          </w:p>
        </w:tc>
      </w:tr>
      <w:tr>
        <w:trPr>
          <w:cantSplit/>
        </w:trPr>
        <w:tc>
          <w:tcPr>
            <w:tcW w:type="dxa" w:w="79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3</w:t>
            </w:r>
          </w:p>
        </w:tc>
        <w:tc>
          <w:tcPr>
            <w:tcW w:type="dxa" w:w="2154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Jurídico complementar / negócios</w:t>
            </w:r>
          </w:p>
        </w:tc>
        <w:tc>
          <w:tcPr>
            <w:tcW w:type="dxa" w:w="3969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Revisão crítica de termos ou operação por especialistas</w:t>
            </w:r>
          </w:p>
        </w:tc>
        <w:tc>
          <w:tcPr>
            <w:tcW w:type="dxa" w:w="260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Escopo específico; evitar sobreposição com atuação inicial do idealizador</w:t>
            </w:r>
          </w:p>
        </w:tc>
      </w:tr>
    </w:tbl>
    <w:p>
      <w:pPr>
        <w:spacing w:after="20"/>
      </w:pPr>
    </w:p>
    <w:p>
      <w:r>
        <w:t>Não anunciar percentuais de equity como recompensa dessas tarefas. Cada oportunidade deve informar a contrapartida efetivamente disponível: remuneração definida, colaboração pontual sem expectativa econômica (quando juridicamente apropriada) ou negociação futura expressa sem obrigação de concessão. Se a contrapartida não estiver definida, não iniciar trabalho relevante.</w:t>
      </w:r>
    </w:p>
    <w:p>
      <w:pPr>
        <w:pStyle w:val="Heading1"/>
      </w:pPr>
      <w:r>
        <w:t>6. Jornada do interessado — do primeiro contato à entrega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4592"/>
        <w:gridCol w:w="3402"/>
      </w:tblGrid>
      <w:tr>
        <w:trPr>
          <w:cantSplit/>
          <w:tblHeader w:val="true"/>
        </w:trPr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Etapa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O que acontece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Registro obrigatório</w:t>
            </w:r>
          </w:p>
        </w:tc>
      </w:tr>
      <w:tr>
        <w:trPr>
          <w:cantSplit/>
        </w:trPr>
        <w:tc>
          <w:tcPr>
            <w:tcW w:type="dxa" w:w="153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1. Interesse</w:t>
            </w:r>
          </w:p>
        </w:tc>
        <w:tc>
          <w:tcPr>
            <w:tcW w:type="dxa" w:w="459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 pessoa lê a GEN-001 e indica contribuição, experiência e disponibilidade.</w:t>
            </w:r>
          </w:p>
        </w:tc>
        <w:tc>
          <w:tcPr>
            <w:tcW w:type="dxa" w:w="340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Data + contato + necessidade escolhida.</w:t>
            </w:r>
          </w:p>
        </w:tc>
      </w:tr>
      <w:tr>
        <w:trPr>
          <w:cantSplit/>
        </w:trPr>
        <w:tc>
          <w:tcPr>
            <w:tcW w:type="dxa" w:w="153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2. Acolhimento</w:t>
            </w:r>
          </w:p>
        </w:tc>
        <w:tc>
          <w:tcPr>
            <w:tcW w:type="dxa" w:w="459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 gestão responde, esclarece o escopo e identifica informação faltante.</w:t>
            </w:r>
          </w:p>
        </w:tc>
        <w:tc>
          <w:tcPr>
            <w:tcW w:type="dxa" w:w="340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Status e orientação enviada.</w:t>
            </w:r>
          </w:p>
        </w:tc>
      </w:tr>
      <w:tr>
        <w:trPr>
          <w:cantSplit/>
        </w:trPr>
        <w:tc>
          <w:tcPr>
            <w:tcW w:type="dxa" w:w="153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3. Conversa</w:t>
            </w:r>
          </w:p>
        </w:tc>
        <w:tc>
          <w:tcPr>
            <w:tcW w:type="dxa" w:w="459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Ambos avaliam compatibilidade, capacidade e interesse.</w:t>
            </w:r>
          </w:p>
        </w:tc>
        <w:tc>
          <w:tcPr>
            <w:tcW w:type="dxa" w:w="340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Resumo curto; nenhum compromisso implícito.</w:t>
            </w:r>
          </w:p>
        </w:tc>
      </w:tr>
      <w:tr>
        <w:trPr>
          <w:cantSplit/>
        </w:trPr>
        <w:tc>
          <w:tcPr>
            <w:tcW w:type="dxa" w:w="153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4. Proposta</w:t>
            </w:r>
          </w:p>
        </w:tc>
        <w:tc>
          <w:tcPr>
            <w:tcW w:type="dxa" w:w="459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Escopo, prazo, responsabilidades, contrapartida e critérios de aceite.</w:t>
            </w:r>
          </w:p>
        </w:tc>
        <w:tc>
          <w:tcPr>
            <w:tcW w:type="dxa" w:w="340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Termos preliminares por escrito.</w:t>
            </w:r>
          </w:p>
        </w:tc>
      </w:tr>
      <w:tr>
        <w:trPr>
          <w:cantSplit/>
        </w:trPr>
        <w:tc>
          <w:tcPr>
            <w:tcW w:type="dxa" w:w="153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5. Formalização</w:t>
            </w:r>
          </w:p>
        </w:tc>
        <w:tc>
          <w:tcPr>
            <w:tcW w:type="dxa" w:w="459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Antes da execução, acordos adequados ao caso (inclusive sigilo e IP se necessário).</w:t>
            </w:r>
          </w:p>
        </w:tc>
        <w:tc>
          <w:tcPr>
            <w:tcW w:type="dxa" w:w="340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Instrumento identificado, partes, data.</w:t>
            </w:r>
          </w:p>
        </w:tc>
      </w:tr>
      <w:tr>
        <w:trPr>
          <w:cantSplit/>
        </w:trPr>
        <w:tc>
          <w:tcPr>
            <w:tcW w:type="dxa" w:w="153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6. Execução</w:t>
            </w:r>
          </w:p>
        </w:tc>
        <w:tc>
          <w:tcPr>
            <w:tcW w:type="dxa" w:w="459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Colaborador entrega; responsável presta retornos e verifica critérios.</w:t>
            </w:r>
          </w:p>
        </w:tc>
        <w:tc>
          <w:tcPr>
            <w:tcW w:type="dxa" w:w="340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Evidências de trabalho e comunicações relevantes.</w:t>
            </w:r>
          </w:p>
        </w:tc>
      </w:tr>
      <w:tr>
        <w:trPr>
          <w:cantSplit/>
        </w:trPr>
        <w:tc>
          <w:tcPr>
            <w:tcW w:type="dxa" w:w="153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7. Aceite</w:t>
            </w:r>
          </w:p>
        </w:tc>
        <w:tc>
          <w:tcPr>
            <w:tcW w:type="dxa" w:w="459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Entrega aceita, devolvida para ajuste ou encerrada com justificativa.</w:t>
            </w:r>
          </w:p>
        </w:tc>
        <w:tc>
          <w:tcPr>
            <w:tcW w:type="dxa" w:w="3402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Decisão e fundamento.</w:t>
            </w:r>
          </w:p>
        </w:tc>
      </w:tr>
      <w:tr>
        <w:trPr>
          <w:cantSplit/>
        </w:trPr>
        <w:tc>
          <w:tcPr>
            <w:tcW w:type="dxa" w:w="153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8. Reconhecimento</w:t>
            </w:r>
          </w:p>
        </w:tc>
        <w:tc>
          <w:tcPr>
            <w:tcW w:type="dxa" w:w="459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Histórico factual; publicidade só com autorização e sem dados sensíveis.</w:t>
            </w:r>
          </w:p>
        </w:tc>
        <w:tc>
          <w:tcPr>
            <w:tcW w:type="dxa" w:w="3402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Registro de contribuição e permissões.</w:t>
            </w:r>
          </w:p>
        </w:tc>
      </w:tr>
    </w:tbl>
    <w:p>
      <w:pPr>
        <w:spacing w:after="20"/>
      </w:pPr>
    </w:p>
    <w:p>
      <w:pPr>
        <w:pStyle w:val="Heading1"/>
      </w:pPr>
      <w:r>
        <w:t>7. Entrada de ideias e ADR-0005: orientação, nunca descarte formal</w:t>
      </w:r>
    </w:p>
    <w:p>
      <w:r>
        <w:t>Desde o MVP público, o Gênesis poderá receber ideias, necessidades e problemas de terceiros, independentemente de solução, produto, CNPJ, faturamento ou finalidade lucrativa. No primeiro contato, basta descrever o que se percebeu e fornecer meio de retorno. Hipótese de solução, estágio e recursos pretendidos são informações opcionais ou a esclarecer em conversa. A avaliação de semelhanças e anterioridade pode orientar o desenvolvimento, mas não garante ineditismo. A publicação depende de escopo público consentido e o acompanhamento mais intenso de capacidade real.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vAlign w:val="center"/>
            <w:shd w:fill="EAF5F2"/>
          </w:tcPr>
          <w:p>
            <w:pPr>
              <w:spacing w:after="40"/>
            </w:pPr>
            <w:r>
              <w:rPr>
                <w:b/>
                <w:color w:val="14736A"/>
                <w:sz w:val="16"/>
              </w:rPr>
              <w:t>REGRA VINCULANTE DE ARQUITETURA | Uma ideia não será rejeitada exclusivamente por apresentação incompleta. O Gênesis indicará o que precisa ser esclarecido, oferecerá orientação acessível e permitirá nova submissão. A admissão e o acolhimento não garantem publicação imediata ou acompanhamento intensivo. Conteúdo ilícito, fraudulento ou lesivo segue política de segurança própria.</w:t>
            </w:r>
          </w:p>
          <w:p>
            <w:pPr>
              <w:spacing w:after="40"/>
            </w:pPr>
            <w:r>
              <w:t>Uma ideia não será rejeitada exclusivamente por apresentação incompleta. O Gênesis indicará o que precisa ser esclarecido, oferecerá orientação acessível e permitirá nova submissão. A verificação não julga mérito, originalidade nem viabilidade. Conteúdo ilícito, fraudulento ou lesivo segue política de segurança própria.</w:t>
            </w:r>
          </w:p>
        </w:tc>
      </w:tr>
    </w:tbl>
    <w:p>
      <w:pPr>
        <w:spacing w:after="0"/>
      </w:pPr>
    </w:p>
    <w:p>
      <w:r>
        <w:t>Estados sugeridos: recebido → precisa de orientação → complementado → apto para publicação → publicado, ou apto aguardando acompanhamento, quando não houver capacidade de operação naquele momento; o idealizador também pode pausar ou retirar a solicitação. Informar claramente os prazos possíveis, o responsável pelo retorno e as opções de continuidade. Iniciativas não são recusadas por apresentação incompleta.</w:t>
      </w:r>
    </w:p>
    <w:p>
      <w:pPr>
        <w:pStyle w:val="Heading1"/>
      </w:pPr>
      <w:r>
        <w:t>8. Formulários, dados e bastidores</w:t>
      </w:r>
    </w:p>
    <w:p>
      <w:pPr>
        <w:pStyle w:val="Heading2"/>
      </w:pPr>
      <w:r>
        <w:t>8.1. Formulário A — Quero colaborar</w:t>
      </w:r>
    </w:p>
    <w:p>
      <w:r>
        <w:t>Campos recomendados: nome de apresentação; e-mail; área de contribuição; experiência relevante (texto curto ou link opcional); disponibilidade; necessidade GEN-001 escolhida; preferência de contato; aceite das regras essenciais e ciência do aviso de privacidade. Solicitar autorização separada para eventual divulgação pública de nome, imagem e participação.</w:t>
      </w:r>
    </w:p>
    <w:p>
      <w:pPr>
        <w:pStyle w:val="Heading2"/>
      </w:pPr>
      <w:r>
        <w:t>8.2. Sugestões avulsas — canal a definir (não há terceiro formulário ativo)</w:t>
      </w:r>
    </w:p>
    <w:p>
      <w:r>
        <w:t>Proposta futura: coletar área do projeto, sugestão, problema observado, contato opcional e preferência de compartilhamento. No lançamento, orientar sugestões pelo e-mail oficial ou pelo contato compatível do Tally, sem anunciar um terceiro formulário. Evitar receber material reservado sem proteção específica.</w:t>
      </w:r>
    </w:p>
    <w:p>
      <w:pPr>
        <w:pStyle w:val="Heading2"/>
      </w:pPr>
      <w:r>
        <w:t>8.3. Formulário B ativo — Quero apresentar ideia ou problema (Tally)</w:t>
      </w:r>
    </w:p>
    <w:p>
      <w:r>
        <w:t>Solicitar contato e descrição simples de uma ideia, necessidade ou problema. Hipótese de solução, estágio e tipo de ajuda podem ser complementados depois, sem bloquear o primeiro contato. Não pedir informação técnica sigilosa nesse formulário. Esclarecer que não há garantia de equipe, análise profissional, execução, proteção intelectual ou publicação e que o acesso inicial não exige mensalidade.</w:t>
      </w:r>
    </w:p>
    <w:p>
      <w:pPr>
        <w:pStyle w:val="Heading2"/>
      </w:pPr>
      <w:r>
        <w:t>8.4. Controle interno eventual (não ativado automaticamente)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  <w:tblHeader w:val="true"/>
        </w:trPr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Aba</w:t>
            </w:r>
          </w:p>
        </w:tc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Campos essenciais</w:t>
            </w:r>
          </w:p>
        </w:tc>
      </w:tr>
      <w:tr>
        <w:trPr>
          <w:cantSplit/>
        </w:trPr>
        <w:tc>
          <w:tcPr>
            <w:tcW w:type="dxa" w:w="243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Contatos</w:t>
            </w:r>
          </w:p>
        </w:tc>
        <w:tc>
          <w:tcPr>
            <w:tcW w:type="dxa" w:w="7087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ID, data, canal, nome, e-mail, interesse, permissões, responsável, status.</w:t>
            </w:r>
          </w:p>
        </w:tc>
      </w:tr>
      <w:tr>
        <w:trPr>
          <w:cantSplit/>
        </w:trPr>
        <w:tc>
          <w:tcPr>
            <w:tcW w:type="dxa" w:w="243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Necessidades</w:t>
            </w:r>
          </w:p>
        </w:tc>
        <w:tc>
          <w:tcPr>
            <w:tcW w:type="dxa" w:w="7087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ID, escopo, prioridade, responsável, critérios, situação, data de revisão.</w:t>
            </w:r>
          </w:p>
        </w:tc>
      </w:tr>
      <w:tr>
        <w:trPr>
          <w:cantSplit/>
        </w:trPr>
        <w:tc>
          <w:tcPr>
            <w:tcW w:type="dxa" w:w="243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Candidaturas</w:t>
            </w:r>
          </w:p>
        </w:tc>
        <w:tc>
          <w:tcPr>
            <w:tcW w:type="dxa" w:w="7087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Contato, necessidade, triagem, próxima ação, prazo, histórico de resposta.</w:t>
            </w:r>
          </w:p>
        </w:tc>
      </w:tr>
      <w:tr>
        <w:trPr>
          <w:cantSplit/>
        </w:trPr>
        <w:tc>
          <w:tcPr>
            <w:tcW w:type="dxa" w:w="243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Acordos</w:t>
            </w:r>
          </w:p>
        </w:tc>
        <w:tc>
          <w:tcPr>
            <w:tcW w:type="dxa" w:w="7087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Partes, objeto, instrumento, assinatura, acesso permitido, datas.</w:t>
            </w:r>
          </w:p>
        </w:tc>
      </w:tr>
      <w:tr>
        <w:trPr>
          <w:cantSplit/>
        </w:trPr>
        <w:tc>
          <w:tcPr>
            <w:tcW w:type="dxa" w:w="243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Entregas</w:t>
            </w:r>
          </w:p>
        </w:tc>
        <w:tc>
          <w:tcPr>
            <w:tcW w:type="dxa" w:w="7087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Contribuidor, evidência, verificação, aceite, publicação permitida.</w:t>
            </w:r>
          </w:p>
        </w:tc>
      </w:tr>
      <w:tr>
        <w:trPr>
          <w:cantSplit/>
        </w:trPr>
        <w:tc>
          <w:tcPr>
            <w:tcW w:type="dxa" w:w="243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Aprendizados</w:t>
            </w:r>
          </w:p>
        </w:tc>
        <w:tc>
          <w:tcPr>
            <w:tcW w:type="dxa" w:w="7087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Hipótese, evidência, observação, mudança proposta, ADR associada.</w:t>
            </w:r>
          </w:p>
        </w:tc>
      </w:tr>
    </w:tbl>
    <w:p>
      <w:pPr>
        <w:spacing w:after="20"/>
      </w:pPr>
    </w:p>
    <w:p>
      <w:pPr>
        <w:pStyle w:val="Small"/>
      </w:pPr>
      <w:r>
        <w:t>Ferramentas efetivamente configuradas no site v0.6: Cloudflare Pages para hospedagem estática; Tally para dois formulários (colaboração e ideias); Instagram para descoberta; e e-mail oficial para atendimento. Os sistemas de controle interno adicionais permanecem opcionais e sujeitos à necessidade e revisão de privacidade.</w:t>
      </w:r>
    </w:p>
    <w:p>
      <w:pPr>
        <w:pStyle w:val="Heading1"/>
      </w:pPr>
      <w:r>
        <w:t>9. Instrumentos jurídicos e salvaguardas mínimas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690"/>
      </w:tblGrid>
      <w:tr>
        <w:trPr>
          <w:cantSplit/>
          <w:tblHeader w:val="true"/>
        </w:trPr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Momento</w:t>
            </w:r>
          </w:p>
        </w:tc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Medida necessária / decisão de desenho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Antes do site captar contatos</w:t>
            </w:r>
          </w:p>
        </w:tc>
        <w:tc>
          <w:tcPr>
            <w:tcW w:type="dxa" w:w="669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Aviso de privacidade efetivo: controlador identificado, finalidades, dados, base legal adequada, direitos e contato; controle de acesso e descarte.</w:t>
            </w:r>
          </w:p>
        </w:tc>
      </w:tr>
      <w:tr>
        <w:trPr>
          <w:cantSplit/>
        </w:trPr>
        <w:tc>
          <w:tcPr>
            <w:tcW w:type="dxa" w:w="28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Antes de abrir propostas</w:t>
            </w:r>
          </w:p>
        </w:tc>
        <w:tc>
          <w:tcPr>
            <w:tcW w:type="dxa" w:w="669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Regras de participação, conduta, tratamento de informações e condições de moderação; explicitar papel limitado do Gênesis.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Antes de receber material reservado</w:t>
            </w:r>
          </w:p>
        </w:tc>
        <w:tc>
          <w:tcPr>
            <w:tcW w:type="dxa" w:w="669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Canal privado e, se pertinente, NDA bilateral; delimitar confidencialidade e exceções.</w:t>
            </w:r>
          </w:p>
        </w:tc>
      </w:tr>
      <w:tr>
        <w:trPr>
          <w:cantSplit/>
        </w:trPr>
        <w:tc>
          <w:tcPr>
            <w:tcW w:type="dxa" w:w="28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Antes de iniciar entrega relevante</w:t>
            </w:r>
          </w:p>
        </w:tc>
        <w:tc>
          <w:tcPr>
            <w:tcW w:type="dxa" w:w="669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Acordo de colaboração ou prestação de serviços conforme a realidade da relação: objeto, prazo, contrapartida, entregas, responsabilidade e saída.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Antes de usar ou publicar criações</w:t>
            </w:r>
          </w:p>
        </w:tc>
        <w:tc>
          <w:tcPr>
            <w:tcW w:type="dxa" w:w="669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Regras de licença/cessão dos direitos patrimoniais pertinentes e autorização de uso de nome, imagem ou depoimento, quando cabível.</w:t>
            </w:r>
          </w:p>
        </w:tc>
      </w:tr>
      <w:tr>
        <w:trPr>
          <w:cantSplit/>
        </w:trPr>
        <w:tc>
          <w:tcPr>
            <w:tcW w:type="dxa" w:w="28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Antes de cogitar equity ou aportes</w:t>
            </w:r>
          </w:p>
        </w:tc>
        <w:tc>
          <w:tcPr>
            <w:tcW w:type="dxa" w:w="669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Análise societária, contratual, trabalhista, tributária e regulatória específica; nenhuma oferta pública/recebimento de recursos no piloto.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vAlign w:val="center"/>
            <w:shd w:fill="EAF5F2"/>
          </w:tcPr>
          <w:p>
            <w:pPr>
              <w:spacing w:after="40"/>
            </w:pPr>
            <w:r>
              <w:rPr>
                <w:b/>
                <w:color w:val="14736A"/>
                <w:sz w:val="16"/>
              </w:rPr>
              <w:t>CUIDADO ESSENCIAL</w:t>
            </w:r>
          </w:p>
          <w:p>
            <w:pPr>
              <w:spacing w:after="40"/>
            </w:pPr>
            <w:r>
              <w:t>Enquanto não houver pessoa jurídica constituída, os documentos devem identificar corretamente quem contrata e quem assume obrigações. “Projeto Gênesis” não deve ser apresentado como pessoa jurídica ou como garantidor de direitos que ainda não existem.</w:t>
            </w:r>
          </w:p>
        </w:tc>
      </w:tr>
    </w:tbl>
    <w:p>
      <w:pPr>
        <w:spacing w:after="0"/>
      </w:pPr>
    </w:p>
    <w:p>
      <w:r>
        <w:t>O acesso público ao site não garante autoria exclusiva ou sigilo sobre uma ideia. Colaborações sem remuneração com atividade continuada também requerem análise de riscos trabalhistas e do efetivo contexto; o nome dado ao contrato não resolve o enquadramento. A orientação é fazer o desenho jurídico antes de cada modalidade, não depois.</w:t>
      </w:r>
    </w:p>
    <w:p>
      <w:pPr>
        <w:pStyle w:val="Heading1"/>
      </w:pPr>
      <w:r>
        <w:t>10. Cronograma de 30 dias — execução mínima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4535"/>
        <w:gridCol w:w="3628"/>
      </w:tblGrid>
      <w:tr>
        <w:trPr>
          <w:cantSplit/>
          <w:tblHeader w:val="true"/>
        </w:trPr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Janela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O que fazer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Entregável / critério</w:t>
            </w:r>
          </w:p>
        </w:tc>
      </w:tr>
      <w:tr>
        <w:trPr>
          <w:cantSplit/>
        </w:trPr>
        <w:tc>
          <w:tcPr>
            <w:tcW w:type="dxa" w:w="136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Dias 1–7</w:t>
            </w:r>
          </w:p>
        </w:tc>
        <w:tc>
          <w:tcPr>
            <w:tcW w:type="dxa" w:w="45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Revisar Kit de Fundação, decidir domínio/tecnologia, criar formulários e instrumentos mínimos; definir 2–3 necessidades prioritárias.</w:t>
            </w:r>
          </w:p>
        </w:tc>
        <w:tc>
          <w:tcPr>
            <w:tcW w:type="dxa" w:w="362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Conteúdo-base revisado + formulários testados + regra de tratamento de dados.</w:t>
            </w:r>
          </w:p>
        </w:tc>
      </w:tr>
      <w:tr>
        <w:trPr>
          <w:cantSplit/>
        </w:trPr>
        <w:tc>
          <w:tcPr>
            <w:tcW w:type="dxa" w:w="136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Dias 8–14</w:t>
            </w:r>
          </w:p>
        </w:tc>
        <w:tc>
          <w:tcPr>
            <w:tcW w:type="dxa" w:w="45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Publicar site funcional e Instagram; divulgar GEN-001, abrir recepção de ideias externas e publicar regras de capacidade de atendimento.</w:t>
            </w:r>
          </w:p>
        </w:tc>
        <w:tc>
          <w:tcPr>
            <w:tcW w:type="dxa" w:w="362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Site com CTA testado em celular; primeiras publicações; início do registro.</w:t>
            </w:r>
          </w:p>
        </w:tc>
      </w:tr>
      <w:tr>
        <w:trPr>
          <w:cantSplit/>
        </w:trPr>
        <w:tc>
          <w:tcPr>
            <w:tcW w:type="dxa" w:w="136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Dias 15–21</w:t>
            </w:r>
          </w:p>
        </w:tc>
        <w:tc>
          <w:tcPr>
            <w:tcW w:type="dxa" w:w="45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Conversar com interessados, orientar pessoas com dúvidas, selecionar ao menos uma entrega delimitada; firmar condições.</w:t>
            </w:r>
          </w:p>
        </w:tc>
        <w:tc>
          <w:tcPr>
            <w:tcW w:type="dxa" w:w="3628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Conversas registradas + um acordo proporcional ao trabalho.</w:t>
            </w:r>
          </w:p>
        </w:tc>
      </w:tr>
      <w:tr>
        <w:trPr>
          <w:cantSplit/>
        </w:trPr>
        <w:tc>
          <w:tcPr>
            <w:tcW w:type="dxa" w:w="136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Dias 22–30</w:t>
            </w:r>
          </w:p>
        </w:tc>
        <w:tc>
          <w:tcPr>
            <w:tcW w:type="dxa" w:w="45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Acompanhar execução e aceite; publicar aprendizado autorizado; revisar indicadores e recursos.</w:t>
            </w:r>
          </w:p>
        </w:tc>
        <w:tc>
          <w:tcPr>
            <w:tcW w:type="dxa" w:w="3628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Uma entrega verificável OU diagnóstico formal do bloqueio; decisão sobre próximo ciclo.</w:t>
            </w:r>
          </w:p>
        </w:tc>
      </w:tr>
    </w:tbl>
    <w:p>
      <w:pPr>
        <w:spacing w:after="20"/>
      </w:pPr>
    </w:p>
    <w:p>
      <w:r>
        <w:t>Cadência: uma revisão interna semanal, uma atualização pública periódica e acompanhamento das inscrições conforme a capacidade real. Usar como referência interna uma primeira análise em até cinco dias úteis, quando viável, sem prometer SLA ao público. Medir separadamente ideias recebidas, solicitações de orientação, iniciativas publicadas e acompanhamentos efetivos, sem exposição de dados pessoais.</w:t>
      </w:r>
    </w:p>
    <w:p>
      <w:pPr>
        <w:pStyle w:val="Heading1"/>
      </w:pPr>
      <w:r>
        <w:t>11. Métricas e decisão de continuidade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211"/>
        <w:gridCol w:w="4479"/>
      </w:tblGrid>
      <w:tr>
        <w:trPr>
          <w:cantSplit/>
          <w:tblHeader w:val="true"/>
        </w:trPr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Meta inicial exploratória</w:t>
            </w:r>
          </w:p>
        </w:tc>
        <w:tc>
          <w:tcPr>
            <w:tcW w:type="dxa" w:w="3175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Importância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Interessados válidos</w:t>
            </w:r>
          </w:p>
        </w:tc>
        <w:tc>
          <w:tcPr>
            <w:tcW w:type="dxa" w:w="221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30</w:t>
            </w:r>
          </w:p>
        </w:tc>
        <w:tc>
          <w:tcPr>
            <w:tcW w:type="dxa" w:w="4479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Mostra alcance qualificado; não valida a colaboração isoladamente.</w:t>
            </w:r>
          </w:p>
        </w:tc>
      </w:tr>
      <w:tr>
        <w:trPr>
          <w:cantSplit/>
        </w:trPr>
        <w:tc>
          <w:tcPr>
            <w:tcW w:type="dxa" w:w="28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Conversas efetivas</w:t>
            </w:r>
          </w:p>
        </w:tc>
        <w:tc>
          <w:tcPr>
            <w:tcW w:type="dxa" w:w="221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10</w:t>
            </w:r>
          </w:p>
        </w:tc>
        <w:tc>
          <w:tcPr>
            <w:tcW w:type="dxa" w:w="4479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Mostra disponibilidade para dialogar.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Compromissos formalizados</w:t>
            </w:r>
          </w:p>
        </w:tc>
        <w:tc>
          <w:tcPr>
            <w:tcW w:type="dxa" w:w="221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3</w:t>
            </w:r>
          </w:p>
        </w:tc>
        <w:tc>
          <w:tcPr>
            <w:tcW w:type="dxa" w:w="4479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Indica conversão em intenção operacional real.</w:t>
            </w:r>
          </w:p>
        </w:tc>
      </w:tr>
      <w:tr>
        <w:trPr>
          <w:cantSplit/>
        </w:trPr>
        <w:tc>
          <w:tcPr>
            <w:tcW w:type="dxa" w:w="28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Entregas aceitas</w:t>
            </w:r>
          </w:p>
        </w:tc>
        <w:tc>
          <w:tcPr>
            <w:tcW w:type="dxa" w:w="221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1 ou mais</w:t>
            </w:r>
          </w:p>
        </w:tc>
        <w:tc>
          <w:tcPr>
            <w:tcW w:type="dxa" w:w="4479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Prova mínima de execução colaborativa.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Ideias recebidas / orientadas / aptas / acompanhadas</w:t>
            </w:r>
          </w:p>
        </w:tc>
        <w:tc>
          <w:tcPr>
            <w:tcW w:type="dxa" w:w="221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Registrar todas</w:t>
            </w:r>
          </w:p>
        </w:tc>
        <w:tc>
          <w:tcPr>
            <w:tcW w:type="dxa" w:w="4479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Mostra demanda por outras ideias, qualidade do acolhimento e gargalos de capacidade.</w:t>
            </w:r>
          </w:p>
        </w:tc>
      </w:tr>
      <w:tr>
        <w:trPr>
          <w:cantSplit/>
        </w:trPr>
        <w:tc>
          <w:tcPr>
            <w:tcW w:type="dxa" w:w="283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Tempo para responder</w:t>
            </w:r>
          </w:p>
        </w:tc>
        <w:tc>
          <w:tcPr>
            <w:tcW w:type="dxa" w:w="2211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Mediana observada</w:t>
            </w:r>
          </w:p>
        </w:tc>
        <w:tc>
          <w:tcPr>
            <w:tcW w:type="dxa" w:w="4479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Testa capacidade operacional e confiança.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Percepção pós-colaboração</w:t>
            </w:r>
          </w:p>
        </w:tc>
        <w:tc>
          <w:tcPr>
            <w:tcW w:type="dxa" w:w="2211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Feedback curto de ambos</w:t>
            </w:r>
          </w:p>
        </w:tc>
        <w:tc>
          <w:tcPr>
            <w:tcW w:type="dxa" w:w="4479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Expõe atritos, insegurança e vontade de repetir.</w:t>
            </w:r>
          </w:p>
        </w:tc>
      </w:tr>
    </w:tbl>
    <w:p>
      <w:pPr>
        <w:spacing w:after="20"/>
      </w:pPr>
    </w:p>
    <w:p>
      <w:r>
        <w:t>As metas numéricas são hipóteses de trabalho, não previsão de demanda. Ao dia 30, deliberar: (a) continuar e expandir, se houve colaboração e experiência aceitável; (b) ajustar posicionamento/fluxo se houve interesse, mas pouca execução; (c) reduzir a quantidade de acompanhamentos simultâneos se faltarem capacidade ou salvaguardas. A quantidade de ideias recebidas, orientadas e acompanhadas deve ser medida separadamente da entrega de resultados. Documentar causas, não apenas quantidades.</w:t>
      </w:r>
    </w:p>
    <w:p>
      <w:pPr>
        <w:pStyle w:val="Heading1"/>
      </w:pPr>
      <w:r>
        <w:t>12. Custos, dependências e contingências</w:t>
      </w:r>
    </w:p>
    <w:p>
      <w:r>
        <w:t>A meta é iniciar sem desembolso obrigatório de desenvolvimento, usando recursos que o idealizador já possua e ferramentas com modalidades gratuitas adequadas. “Sem investimento inicial” não significa ausência de custos: há trabalho do fundador, eventual registro de domínio, custos jurídicos/contábeis, equipamentos, e-mail e serviços pagos se escolhidos.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6350"/>
      </w:tblGrid>
      <w:tr>
        <w:trPr>
          <w:cantSplit/>
          <w:tblHeader w:val="true"/>
        </w:trPr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Risco / falha</w:t>
            </w:r>
          </w:p>
        </w:tc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Resposta prática</w:t>
            </w:r>
          </w:p>
        </w:tc>
      </w:tr>
      <w:tr>
        <w:trPr>
          <w:cantSplit/>
        </w:trPr>
        <w:tc>
          <w:tcPr>
            <w:tcW w:type="dxa" w:w="317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Nenhum desenvolvedor disponível</w:t>
            </w:r>
          </w:p>
        </w:tc>
        <w:tc>
          <w:tcPr>
            <w:tcW w:type="dxa" w:w="635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Publicar um site simples em ferramenta sem código; não atrasar captação de interessados.</w:t>
            </w:r>
          </w:p>
        </w:tc>
      </w:tr>
      <w:tr>
        <w:trPr>
          <w:cantSplit/>
        </w:trPr>
        <w:tc>
          <w:tcPr>
            <w:tcW w:type="dxa" w:w="317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Poucos colaboradores se candidatam</w:t>
            </w:r>
          </w:p>
        </w:tc>
        <w:tc>
          <w:tcPr>
            <w:tcW w:type="dxa" w:w="635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Reduzir escopos, testar mensagens e entrevistar pessoas, sem prometer participação como isca.</w:t>
            </w:r>
          </w:p>
        </w:tc>
      </w:tr>
      <w:tr>
        <w:trPr>
          <w:cantSplit/>
        </w:trPr>
        <w:tc>
          <w:tcPr>
            <w:tcW w:type="dxa" w:w="317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Muitos interessados ou ideias ao mesmo tempo</w:t>
            </w:r>
          </w:p>
        </w:tc>
        <w:tc>
          <w:tcPr>
            <w:tcW w:type="dxa" w:w="635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Acolher todas as propostas válidas; informar capacidade, fila de acompanhamento e prazo realista; não aceitar tarefas sem coordenação.</w:t>
            </w:r>
          </w:p>
        </w:tc>
      </w:tr>
      <w:tr>
        <w:trPr>
          <w:cantSplit/>
        </w:trPr>
        <w:tc>
          <w:tcPr>
            <w:tcW w:type="dxa" w:w="317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Medo de exposição da ideia</w:t>
            </w:r>
          </w:p>
        </w:tc>
        <w:tc>
          <w:tcPr>
            <w:tcW w:type="dxa" w:w="635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Publicar resumo não sensível; canal reservado e análise de confidencialidade antes de detalhar.</w:t>
            </w:r>
          </w:p>
        </w:tc>
      </w:tr>
      <w:tr>
        <w:trPr>
          <w:cantSplit/>
        </w:trPr>
        <w:tc>
          <w:tcPr>
            <w:tcW w:type="dxa" w:w="317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Pedidos de crédito ou equity</w:t>
            </w:r>
          </w:p>
        </w:tc>
        <w:tc>
          <w:tcPr>
            <w:tcW w:type="dxa" w:w="635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Registrar a demanda, explicar que não há conversão automática e negociar só com instrumento apropriado.</w:t>
            </w:r>
          </w:p>
        </w:tc>
      </w:tr>
      <w:tr>
        <w:trPr>
          <w:cantSplit/>
        </w:trPr>
        <w:tc>
          <w:tcPr>
            <w:tcW w:type="dxa" w:w="317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Risco de uso indevido de dados</w:t>
            </w:r>
          </w:p>
        </w:tc>
        <w:tc>
          <w:tcPr>
            <w:tcW w:type="dxa" w:w="635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Reduzir coleta, revisar acessos, interromper compartilhamento e corrigir procedimento.</w:t>
            </w:r>
          </w:p>
        </w:tc>
      </w:tr>
      <w:tr>
        <w:trPr>
          <w:cantSplit/>
        </w:trPr>
        <w:tc>
          <w:tcPr>
            <w:tcW w:type="dxa" w:w="317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Nenhuma entrega concluída</w:t>
            </w:r>
          </w:p>
        </w:tc>
        <w:tc>
          <w:tcPr>
            <w:tcW w:type="dxa" w:w="635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Entender bloqueios com evidências e iterar o processo, sem proclamar “MVP validado”.</w:t>
            </w:r>
          </w:p>
        </w:tc>
      </w:tr>
    </w:tbl>
    <w:p>
      <w:pPr>
        <w:spacing w:after="20"/>
      </w:pPr>
    </w:p>
    <w:p>
      <w:pPr>
        <w:pStyle w:val="Heading1"/>
      </w:pPr>
      <w:r>
        <w:t>13. Textos prontos para os canais</w:t>
      </w:r>
    </w:p>
    <w:p>
      <w:pPr>
        <w:pStyle w:val="Heading2"/>
      </w:pPr>
      <w:r>
        <w:t>13.1. Chamada da página inicial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vAlign w:val="center"/>
            <w:shd w:fill="EAF5F2"/>
          </w:tcPr>
          <w:p>
            <w:pPr>
              <w:spacing w:after="40"/>
            </w:pPr>
            <w:r>
              <w:rPr>
                <w:b/>
                <w:color w:val="14736A"/>
                <w:sz w:val="16"/>
              </w:rPr>
              <w:t>HEADLINE</w:t>
            </w:r>
          </w:p>
          <w:p>
            <w:pPr>
              <w:spacing w:after="40"/>
            </w:pPr>
            <w:r>
              <w:t>Grandes ideias não deveriam morrer por falta de recursos.</w:t>
            </w:r>
          </w:p>
        </w:tc>
      </w:tr>
    </w:tbl>
    <w:p>
      <w:pPr>
        <w:spacing w:after="0"/>
      </w:pPr>
    </w:p>
    <w:p>
      <w:r>
        <w:t>“Estamos construindo o Projeto Gênesis: um ecossistema em que pessoas com ideias possam encontrar conhecimento, trabalho, parcerias e recursos para desenvolvê-las. Nossa primeira iniciativa é construir o próprio Gênesis — e ela já está aberta a contribuições. Sua ideia também pode ser apresentada desde agora: nós acolhemos e orientamos propostas, e iniciamos o acompanhamento de outras iniciativas conforme a capacidade real.”</w:t>
      </w:r>
    </w:p>
    <w:p>
      <w:r>
        <w:t>Botões sugeridos: “Conhecer a iniciativa #001”, “Quero colaborar” e “Quero apresentar uma ideia”. Complemento: “Veja o que já definimos, o que está em discussão e o que precisamos construir.”</w:t>
      </w:r>
    </w:p>
    <w:p>
      <w:pPr>
        <w:pStyle w:val="Heading2"/>
      </w:pPr>
      <w:r>
        <w:t>13.2. Primeira publicação do Instagram</w:t>
      </w:r>
    </w:p>
    <w:p>
      <w:r>
        <w:t>“E se uma ideia não precisasse morrer por falta de dinheiro, equipe ou contatos? O Projeto Gênesis nasceu dessa dificuldade. Estamos criando um ambiente para reunir pessoas e recursos e desenvolver iniciativas em conjunto. Nosso primeiro projeto é construir o próprio Gênesis — mas queremos também conhecer a sua ideia. Já temos fundamentos e documentos iniciais; buscamos colaboradores e receberemos iniciativas desde o lançamento, oferecendo orientação quando necessário. Acompanhe a GEN-001, participe ou apresente sua ideia. Link na bio.”</w:t>
      </w:r>
    </w:p>
    <w:p>
      <w:pPr>
        <w:pStyle w:val="Heading2"/>
      </w:pPr>
      <w:r>
        <w:t>13.3. Mensagem de acolhimento</w:t>
      </w:r>
    </w:p>
    <w:p>
      <w:r>
        <w:t>“Obrigado por entrar em contato com o Projeto Gênesis. Se você quer colaborar, vamos identificar uma necessidade compatível com sua disponibilidade. Se você quer apresentar uma ideia, vamos ajudar a organizar a proposta e explicar os próximos passos. Caso ainda não possamos acompanhar seu projeto ativamente, informaremos isso com transparência, sem desqualificá-lo. O cadastro não cria vínculo de sociedade, trabalho ou remuneração; qualquer colaboração concreta terá condições próprias combinadas previamente.”</w:t>
      </w:r>
    </w:p>
    <w:p>
      <w:pPr>
        <w:pStyle w:val="Heading1"/>
      </w:pPr>
      <w:r>
        <w:t>14. Deliberações e próximos documentos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0"/>
        <w:gridCol w:w="3005"/>
      </w:tblGrid>
      <w:tr>
        <w:trPr>
          <w:cantSplit/>
          <w:tblHeader w:val="true"/>
        </w:trPr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Decisão</w:t>
            </w:r>
          </w:p>
        </w:tc>
        <w:tc>
          <w:tcPr>
            <w:tcW w:type="dxa" w:w="4762"/>
            <w:vAlign w:val="center"/>
            <w:shd w:fill="183D43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652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Projeto #001 será o próprio Gênesis; método manual e construção pública</w:t>
            </w:r>
          </w:p>
        </w:tc>
        <w:tc>
          <w:tcPr>
            <w:tcW w:type="dxa" w:w="300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Aprovada nas conversas de fundação.</w:t>
            </w:r>
          </w:p>
        </w:tc>
      </w:tr>
      <w:tr>
        <w:trPr>
          <w:cantSplit/>
        </w:trPr>
        <w:tc>
          <w:tcPr>
            <w:tcW w:type="dxa" w:w="652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O site já terá base documental, mas mostrará visualmente a construção em andamento</w:t>
            </w:r>
          </w:p>
        </w:tc>
        <w:tc>
          <w:tcPr>
            <w:tcW w:type="dxa" w:w="300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Aprovada como diretriz.</w:t>
            </w:r>
          </w:p>
        </w:tc>
      </w:tr>
      <w:tr>
        <w:trPr>
          <w:cantSplit/>
        </w:trPr>
        <w:tc>
          <w:tcPr>
            <w:tcW w:type="dxa" w:w="652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ADR-0005: proposta incompleta recebe orientação e oportunidade de adequação</w:t>
            </w:r>
          </w:p>
        </w:tc>
        <w:tc>
          <w:tcPr>
            <w:tcW w:type="dxa" w:w="300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Aprovada; moderação de segurança é separada.</w:t>
            </w:r>
          </w:p>
        </w:tc>
      </w:tr>
      <w:tr>
        <w:trPr>
          <w:cantSplit/>
        </w:trPr>
        <w:tc>
          <w:tcPr>
            <w:tcW w:type="dxa" w:w="652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Tecnologia e marca definitivas, formulários e canal jurídico preciso</w:t>
            </w:r>
          </w:p>
        </w:tc>
        <w:tc>
          <w:tcPr>
            <w:tcW w:type="dxa" w:w="300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Para validação no início da implementação.</w:t>
            </w:r>
          </w:p>
        </w:tc>
      </w:tr>
      <w:tr>
        <w:trPr>
          <w:cantSplit/>
        </w:trPr>
        <w:tc>
          <w:tcPr>
            <w:tcW w:type="dxa" w:w="6520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GEN-001 será a primeira iniciativa; abertura para ideias externas desde o lançamento, com acompanhamento conforme capacidade</w:t>
            </w:r>
          </w:p>
        </w:tc>
        <w:tc>
          <w:tcPr>
            <w:tcW w:type="dxa" w:w="3005"/>
            <w:vAlign w:val="top"/>
          </w:tcPr>
          <w:p>
            <w:pPr>
              <w:spacing w:after="20" w:before="20"/>
            </w:pPr>
            <w:r>
              <w:rPr>
                <w:sz w:val="16"/>
              </w:rPr>
              <w:t>Ajuste de escopo aprovado pelo idealizador para o piloto.</w:t>
            </w:r>
          </w:p>
        </w:tc>
      </w:tr>
      <w:tr>
        <w:trPr>
          <w:cantSplit/>
        </w:trPr>
        <w:tc>
          <w:tcPr>
            <w:tcW w:type="dxa" w:w="6520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Remuneração, créditos, vesting, participação e captação</w:t>
            </w:r>
          </w:p>
        </w:tc>
        <w:tc>
          <w:tcPr>
            <w:tcW w:type="dxa" w:w="3005"/>
            <w:vAlign w:val="top"/>
            <w:shd w:fill="F1F6F5"/>
          </w:tcPr>
          <w:p>
            <w:pPr>
              <w:spacing w:after="20" w:before="20"/>
            </w:pPr>
            <w:r>
              <w:rPr>
                <w:sz w:val="16"/>
              </w:rPr>
              <w:t>Não definidos; não anunciar contrapartida automática.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vAlign w:val="center"/>
            <w:shd w:fill="EAF5F2"/>
          </w:tcPr>
          <w:p>
            <w:pPr>
              <w:spacing w:after="40"/>
            </w:pPr>
            <w:r>
              <w:rPr>
                <w:b/>
                <w:color w:val="14736A"/>
                <w:sz w:val="16"/>
              </w:rPr>
              <w:t>ADR-0006 — MVP ABERTO ÀS IDEIAS, COM ATENDIMENTO PROPORCIONAL À CAPACIDADE | A GEN-001 será o primeiro projeto executado e documentado, sem exclusividade. O Gênesis receberá propostas de outras pessoas desde o lançamento e oferecerá acolhimento e orientação de adequação quando necessário. Publicação e acompanhamento intensivo de iniciativas externas ocorrerão conforme capacidade real e condições de segurança, com comunicação transparente de prazos e limites. O piloto continuará manual, com site funcional, proteção de dados, registro dos contatos e acordos prévios para trabalhos concretos. A continuidade será decidida pelas evidências de colaboração e aprendizado, não por métricas de vaidade.</w:t>
            </w:r>
          </w:p>
          <w:p>
            <w:pPr>
              <w:spacing w:after="40"/>
            </w:pPr>
            <w:r>
              <w:t>A primeira prova do Gênesis será a iniciativa GEN-001, operada manualmente por canais existentes. O lançamento público dependerá de site funcional, comunicação honesta do estágio, entradas registradas, proteção mínima de dados, regras transparentes e acordos prévios para entregas. A continuidade será decidida por evidências de colaboração, não por métricas de vaidade.</w:t>
            </w:r>
          </w:p>
        </w:tc>
      </w:tr>
    </w:tbl>
    <w:p>
      <w:pPr>
        <w:spacing w:after="0"/>
      </w:pPr>
    </w:p>
    <w:p>
      <w:pPr>
        <w:pStyle w:val="Small"/>
      </w:pPr>
      <w:r>
        <w:t>Documento integrante do Kit de Fundação. Revisar após o primeiro ciclo de 30 dias; registrar alterações significativas como decisões de arquitetura.</w:t>
      </w:r>
    </w:p>
    <w:p>
      <w:pPr>
        <w:pStyle w:val="Heading1"/>
      </w:pPr>
      <w:r>
        <w:t>Referências operacionais e regulatórias</w:t>
      </w:r>
    </w:p>
    <w:p>
      <w:pPr>
        <w:pStyle w:val="Small"/>
      </w:pPr>
      <w:r>
        <w:t>Google Sites — incorporar arquivos e formulários: https://support.google.com/sites/answer/90569?hl=pt-BR</w:t>
      </w:r>
    </w:p>
    <w:p>
      <w:pPr>
        <w:pStyle w:val="Small"/>
      </w:pPr>
      <w:r>
        <w:t>Google Formulários — acompanhar respostas: https://support.google.com/docs/answer/139706?hl=pt-BR</w:t>
      </w:r>
    </w:p>
    <w:p>
      <w:pPr>
        <w:pStyle w:val="Small"/>
      </w:pPr>
      <w:r>
        <w:t>Google Formulários — enviar respostas para planilha: https://support.google.com/docs/answer/2917686?hl=pt-br</w:t>
      </w:r>
    </w:p>
    <w:p>
      <w:pPr>
        <w:pStyle w:val="Small"/>
      </w:pPr>
      <w:r>
        <w:t>ANPD — aviso de privacidade e transparência no tratamento de dados: https://www.gov.br/anpd/pt-br/acesso-a-informacao/aviso-de-privacidade</w:t>
      </w:r>
    </w:p>
    <w:p>
      <w:pPr>
        <w:pStyle w:val="Small"/>
      </w:pPr>
      <w:r>
        <w:t>CVM — Resolução 88 (texto consolidado e alterações): https://conteudo.cvm.gov.br/legislacao/resolucoes/resol088.html</w:t>
      </w:r>
    </w:p>
    <w:p>
      <w:pPr>
        <w:pStyle w:val="Small"/>
      </w:pPr>
      <w:r>
        <w:t>CVM — Registro de plataforma de crowdfunding de investimento: https://www.gov.br/pt-br/servicos/registrar-plataforma-eletronica-de-investimento-participativo-cvm-crowdfunding</w:t>
      </w:r>
    </w:p>
    <w:p>
      <w:pPr>
        <w:pStyle w:val="Small"/>
      </w:pPr>
      <w:r>
        <w:t>Sebrae — MVP e teste de hipóteses: https://loja.sebrae.com.br/minimo-produto-viavel-mvp-1-372000101691</w:t>
      </w:r>
    </w:p>
    <w:p>
      <w:pPr>
        <w:pStyle w:val="Small"/>
      </w:pPr>
      <w:r>
        <w:t>Nota de escopo: referências jurídicas indicam pontos de atenção; eventual estrutura contratual ou oferta depende de análise concreta e do quadro normativo vigente na implementação.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191" w:bottom="1106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C6775"/>
        <w:sz w:val="15"/>
      </w:rPr>
      <w:t xml:space="preserve">DOC 05  •  V0.3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4736A"/>
        <w:sz w:val="15"/>
      </w:rPr>
      <w:t>PROJETO GÊNESIS  /  KIT DE FUNDAÇÃO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/>
      <w:color w:val="1827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27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4736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273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20"/>
    </w:pPr>
    <w:rPr>
      <w:rFonts w:ascii="Aptos" w:hAnsi="Aptos"/>
      <w:b/>
      <w:color w:val="14736A"/>
      <w:sz w:val="16"/>
    </w:rPr>
  </w:style>
  <w:style w:type="paragraph" w:customStyle="1" w:styleId="Small">
    <w:name w:val="Small"/>
    <w:pPr>
      <w:spacing w:after="80"/>
    </w:pPr>
    <w:rPr>
      <w:rFonts w:ascii="Aptos" w:hAnsi="Aptos"/>
      <w:color w:val="5C6775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#001 — Plano Operacional do MVP (versão 0.2)</dc:title>
  <dc:subject>Kit de Fundação — Documento 05, revisão de acolhimento e abertura a outras iniciativas</dc:subject>
  <dc:creator>Projeto Gênesis</dc:creator>
  <cp:keywords>MVP; colaboração; Gênesis; plano operacional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