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</w:pPr>
      <w:r>
        <w:t>PROJETO GÊNESIS   /   KIT DE FUNDAÇÃO   /   DOCUMENTO 02</w:t>
      </w:r>
    </w:p>
    <w:p>
      <w:pPr>
        <w:pStyle w:val="Title"/>
      </w:pPr>
      <w:r>
        <w:t>Visão e Modelo</w:t>
        <w:br/>
        <w:t>de Negócio</w:t>
      </w:r>
    </w:p>
    <w:p>
      <w:pPr>
        <w:pStyle w:val="Lead"/>
      </w:pPr>
      <w:r>
        <w:t>Da identificação de um problema à construção colaborativa de projetos</w:t>
      </w:r>
    </w:p>
    <w:p>
      <w:pPr>
        <w:pStyle w:val="Small"/>
      </w:pPr>
      <w:r>
        <w:t>Versão 0.2  ·  Proposta para aprovação  ·  Outubro de 2026</w:t>
      </w:r>
    </w:p>
    <w:p>
      <w:pPr>
        <w:pStyle w:val="Small"/>
      </w:pPr>
      <w:r>
        <w:t>Escopo: apresentação pública da concepção atual; não constitui proposta de investimento, acordo de sociedade ou promessa de resultados.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69"/>
      </w:tblGrid>
      <w:tr>
        <w:tc>
          <w:tcPr>
            <w:tcW w:type="dxa" w:w="9320"/>
            <w:shd w:fill="EBF4F1"/>
            <w:tcMar>
              <w:top w:w="140" w:type="dxa"/>
              <w:start w:w="160" w:type="dxa"/>
              <w:bottom w:w="125" w:type="dxa"/>
              <w:end w:w="160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TESE DO GÊNESIS</w:t>
              <w:br/>
            </w:r>
            <w:r>
              <w:rPr>
                <w:b/>
                <w:color w:val="182B37"/>
                <w:sz w:val="21"/>
              </w:rPr>
              <w:t>Uma ideia não deveria deixar de avançar somente porque as pessoas e os recursos capazes de desenvolvê-la estão dispersos.</w:t>
            </w:r>
          </w:p>
        </w:tc>
      </w:tr>
    </w:tbl>
    <w:p>
      <w:pPr>
        <w:spacing w:after="0"/>
      </w:pPr>
    </w:p>
    <w:p>
      <w:pPr>
        <w:pStyle w:val="Heading2"/>
      </w:pPr>
      <w:r>
        <w:t>Em uma página</w:t>
      </w:r>
    </w:p>
    <w:p>
      <w:pPr>
        <w:spacing w:after="140"/>
      </w:pPr>
      <w:r>
        <w:t>Problema. Pessoas com ideias ou necessidades identificadas podem não saber se a solução já existe, como avaliar sua viabilidade, quem poderia desenvolvê-la e como lidar com custos, conhecimento técnico ou burocracia. Muitos canais de apoio têm regras e públicos mais maduros.</w:t>
      </w:r>
    </w:p>
    <w:p>
      <w:pPr>
        <w:spacing w:after="140"/>
      </w:pPr>
      <w:r>
        <w:t>Solução. Uma comunidade em construção para acolher ideias e problemas em estágio inicial, aproximar colaboradores, orientar pesquisas e organizar contribuições, com regras proporcionais e proteção de informações.</w:t>
      </w:r>
    </w:p>
    <w:p>
      <w:pPr>
        <w:spacing w:after="140"/>
      </w:pPr>
      <w:r>
        <w:t>Diferencial. Entrada no estágio zero, sem exigir CNPJ, faturamento, protótipo ou solução pronta; participação inicial sem mensalidade; abertura a projetos comerciais e não comerciais; e colaboração documentada.</w:t>
      </w:r>
    </w:p>
    <w:p>
      <w:pPr>
        <w:spacing w:after="140"/>
      </w:pPr>
      <w:r>
        <w:rPr>
          <w:b/>
          <w:color w:val="106F65"/>
        </w:rPr>
        <w:t xml:space="preserve">Estratégia de lançamento.  </w:t>
      </w:r>
      <w:r>
        <w:t>A própria construção do Gênesis será a Iniciativa #001, inicialmente operada com Instagram, um site informativo, formulários e organização manual.</w:t>
      </w:r>
    </w:p>
    <w:p>
      <w:pPr>
        <w:spacing w:after="140"/>
      </w:pPr>
      <w:r>
        <w:rPr>
          <w:b/>
          <w:color w:val="106F65"/>
        </w:rPr>
        <w:t xml:space="preserve">Sustentação.  </w:t>
      </w:r>
      <w:r>
        <w:t>Acesso inicial gratuito e receitas futuras por recursos opcionais, serviços específicos e soluções institucionais, sujeitos à validação.</w:t>
      </w:r>
    </w:p>
    <w:p>
      <w:r>
        <w:br w:type="page"/>
      </w:r>
    </w:p>
    <w:p>
      <w:pPr>
        <w:pStyle w:val="Eyebrow"/>
      </w:pPr>
      <w:r>
        <w:t>DOCUMENTO 02  /  VISÃO E MODELO DE NEGÓCIO</w:t>
      </w:r>
    </w:p>
    <w:p>
      <w:pPr>
        <w:pStyle w:val="Heading1"/>
      </w:pPr>
      <w:r>
        <w:t>1. Identidade e direção</w:t>
      </w:r>
    </w:p>
    <w:p>
      <w:pPr>
        <w:pStyle w:val="Heading2"/>
      </w:pPr>
      <w:r>
        <w:t>Posicionamento alinhado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69"/>
      </w:tblGrid>
      <w:tr>
        <w:tc>
          <w:tcPr>
            <w:tcW w:type="dxa" w:w="9320"/>
            <w:shd w:fill="EBF4F1"/>
            <w:tcMar>
              <w:top w:w="140" w:type="dxa"/>
              <w:start w:w="160" w:type="dxa"/>
              <w:bottom w:w="125" w:type="dxa"/>
              <w:end w:w="160" w:type="dxa"/>
            </w:tcMar>
          </w:tcPr>
          <w:p>
            <w:pPr>
              <w:pStyle w:val="TableSmall"/>
            </w:pPr>
            <w:r>
              <w:t>POSICIONAMENTO ATUAL</w:t>
              <w:br/>
              <w:t>O Projeto Gênesis é uma comunidade de cocriação de projetos em construção: acolhe ideias e problemas desde o começo e busca conectar pessoas, experiências, conhecimentos e recursos para explorar soluções de diferentes naturezas.</w:t>
            </w:r>
          </w:p>
        </w:tc>
      </w:tr>
    </w:tbl>
    <w:p>
      <w:pPr>
        <w:spacing w:after="0"/>
      </w:pPr>
    </w:p>
    <w:p>
      <w:pPr>
        <w:pStyle w:val="Heading2"/>
      </w:pPr>
      <w:r>
        <w:t>Visão proposta</w:t>
      </w:r>
    </w:p>
    <w:p>
      <w:r>
        <w:t>Tornar o Gênesis uma referência de acolhimento, colaboração e desenvolvimento de projetos desde o problema inicial, sem limitar a finalidade das iniciativas à criação de negócios ou empresas.</w:t>
      </w:r>
    </w:p>
    <w:p>
      <w:pPr>
        <w:pStyle w:val="Heading2"/>
      </w:pPr>
      <w:r>
        <w:t>Missão proposta — ainda em validação</w:t>
      </w:r>
    </w:p>
    <w:p>
      <w:r>
        <w:t>Reduzir as barreiras para iniciar projetos, permitindo apresentar ideias e problemas, identificar caminhos de pesquisa e aproximar pessoas com contribuições complementares, por meio de acordos claros e reconhecimento responsável.</w:t>
      </w:r>
    </w:p>
    <w:p>
      <w:pPr>
        <w:pStyle w:val="Heading2"/>
      </w:pPr>
      <w:r>
        <w:t>O problema que queremos resolver</w:t>
      </w:r>
    </w:p>
    <w:p>
      <w:r>
        <w:t>O idealizador muitas vezes não consegue pesquisar soluções semelhantes, avaliar sua proposta, contratar especialistas, resolver exigências formais ou encontrar pessoas dispostas a colaborar. A ausência de dinheiro, equipe, experiência ou estrutura pode impedir o primeiro passo. O Gênesis nasce dessa experiência prática e pretende enfrentar os obstáculos desde o estágio zero, sem prometer atendimento ou execução automática.</w:t>
      </w:r>
    </w:p>
    <w:p>
      <w:pPr/>
      <w:r>
        <w:t>Condição de entrada proposta: sem cobrança de mensalidade para a participação inicial e sem exigir CNPJ, faturamento, negócio constituído, protótipo ou resposta técnica pronta. Pesquisas sobre anterioridade e semelhanças serão orientativas, sem garantir novidade absoluta ou proteção automática da ideia.</w:t>
      </w:r>
    </w:p>
    <w:p>
      <w:pPr>
        <w:pStyle w:val="Heading2"/>
      </w:pPr>
      <w:r>
        <w:t>O que não prometemos</w:t>
      </w:r>
    </w:p>
    <w:p>
      <w:pPr>
        <w:pStyle w:val="ListBullet"/>
        <w:spacing w:after="80"/>
        <w:ind w:left="369"/>
      </w:pPr>
      <w:r>
        <w:t>Que toda ideia será financiada, validada, executada ou transformada em empresa.</w:t>
      </w:r>
    </w:p>
    <w:p>
      <w:pPr>
        <w:pStyle w:val="ListBullet"/>
        <w:spacing w:after="80"/>
        <w:ind w:left="369"/>
      </w:pPr>
      <w:r>
        <w:t>Que a plataforma garantirá honestidade, sucesso econômico, propriedade exclusiva sobre ideias abstratas ou retorno financeiro.</w:t>
      </w:r>
    </w:p>
    <w:p>
      <w:pPr>
        <w:pStyle w:val="ListBullet"/>
        <w:spacing w:after="80"/>
        <w:ind w:left="369"/>
      </w:pPr>
      <w:r>
        <w:t>Que o Gênesis substituirá automaticamente profissionais, contratos específicos ou a governança de cada empreendimento.</w:t>
      </w:r>
    </w:p>
    <w:p>
      <w:r>
        <w:br w:type="page"/>
      </w:r>
    </w:p>
    <w:p>
      <w:pPr>
        <w:pStyle w:val="Eyebrow"/>
      </w:pPr>
      <w:r>
        <w:t>DOCUMENTO 02  /  VISÃO E MODELO DE NEGÓCIO</w:t>
      </w:r>
    </w:p>
    <w:p>
      <w:pPr>
        <w:pStyle w:val="Heading1"/>
      </w:pPr>
      <w:r>
        <w:t>2. Pessoas, recursos e oportunidades</w:t>
      </w:r>
    </w:p>
    <w:p>
      <w:r>
        <w:t>O Gênesis não se limita a startups, empresas ou projetos comerciais. Poderá acolher, conforme critérios e capacidade, problemas ainda sem resposta, ideias de produtos, ferramentas, serviços, soluções comunitárias, ambientais, educativas, melhorias de processos e também negócios em qualquer estágio.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6860"/>
      </w:tblGrid>
      <w:tr>
        <w:tc>
          <w:tcPr>
            <w:tcW w:type="dxa" w:w="4660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PARTICIPANTE</w:t>
            </w:r>
          </w:p>
        </w:tc>
        <w:tc>
          <w:tcPr>
            <w:tcW w:type="dxa" w:w="4660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O QUE PROCURA / OFERECE</w:t>
            </w:r>
          </w:p>
        </w:tc>
      </w:tr>
      <w:tr>
        <w:trPr>
          <w:cantSplit/>
        </w:trPr>
        <w:tc>
          <w:tcPr>
            <w:tcW w:type="dxa" w:w="2324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Idealizador</w:t>
            </w:r>
          </w:p>
        </w:tc>
        <w:tc>
          <w:tcPr>
            <w:tcW w:type="dxa" w:w="686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Espaço para explicar uma ideia ainda incompleta e encontrar ajuda para desenvolvê-la.</w:t>
            </w:r>
          </w:p>
        </w:tc>
      </w:tr>
      <w:tr>
        <w:trPr>
          <w:cantSplit/>
        </w:trPr>
        <w:tc>
          <w:tcPr>
            <w:tcW w:type="dxa" w:w="2324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Colaborador</w:t>
            </w:r>
          </w:p>
        </w:tc>
        <w:tc>
          <w:tcPr>
            <w:tcW w:type="dxa" w:w="686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Projetos com necessidades concretas nos quais aportar tempo, trabalho e conhecimento.</w:t>
            </w:r>
          </w:p>
        </w:tc>
      </w:tr>
      <w:tr>
        <w:trPr>
          <w:cantSplit/>
        </w:trPr>
        <w:tc>
          <w:tcPr>
            <w:tcW w:type="dxa" w:w="2324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Especialista ou mentor</w:t>
            </w:r>
          </w:p>
        </w:tc>
        <w:tc>
          <w:tcPr>
            <w:tcW w:type="dxa" w:w="686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Demandas de sua competência, com escopo e contrapartidas transparentes.</w:t>
            </w:r>
          </w:p>
        </w:tc>
      </w:tr>
      <w:tr>
        <w:trPr>
          <w:cantSplit/>
        </w:trPr>
        <w:tc>
          <w:tcPr>
            <w:tcW w:type="dxa" w:w="2324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Investidor ou parceiro</w:t>
            </w:r>
          </w:p>
        </w:tc>
        <w:tc>
          <w:tcPr>
            <w:tcW w:type="dxa" w:w="686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Oportunidades para acompanhar ou apoiar, em modelos juridicamente adequados.</w:t>
            </w:r>
          </w:p>
        </w:tc>
      </w:tr>
      <w:tr>
        <w:trPr>
          <w:cantSplit/>
        </w:trPr>
        <w:tc>
          <w:tcPr>
            <w:tcW w:type="dxa" w:w="2324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Empresa ou instituição</w:t>
            </w:r>
          </w:p>
        </w:tc>
        <w:tc>
          <w:tcPr>
            <w:tcW w:type="dxa" w:w="686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Iniciativas para testar, apoiar ou desenvolver por meio de programas próprios.</w:t>
            </w:r>
          </w:p>
        </w:tc>
      </w:tr>
    </w:tbl>
    <w:p>
      <w:pPr>
        <w:spacing w:after="20"/>
      </w:pPr>
    </w:p>
    <w:p>
      <w:pPr>
        <w:pStyle w:val="Heading2"/>
      </w:pPr>
      <w:r>
        <w:t>Jornada proposta de uma iniciativa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143"/>
      </w:tblGrid>
      <w:tr>
        <w:tc>
          <w:tcPr>
            <w:tcW w:type="dxa" w:w="4660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ETAPA</w:t>
            </w:r>
          </w:p>
        </w:tc>
        <w:tc>
          <w:tcPr>
            <w:tcW w:type="dxa" w:w="4660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O QUE ACONTECE</w:t>
            </w:r>
          </w:p>
        </w:tc>
      </w:tr>
      <w:tr>
        <w:trPr>
          <w:cantSplit/>
        </w:trPr>
        <w:tc>
          <w:tcPr>
            <w:tcW w:type="dxa" w:w="2041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01 · Apresentação</w:t>
            </w:r>
          </w:p>
        </w:tc>
        <w:tc>
          <w:tcPr>
            <w:tcW w:type="dxa" w:w="7143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Idealizador descreve problema ou oportunidade, hipótese de solução e necessidades; pode solicitar ajuda para se expressar melhor.</w:t>
            </w:r>
          </w:p>
        </w:tc>
      </w:tr>
      <w:tr>
        <w:trPr>
          <w:cantSplit/>
        </w:trPr>
        <w:tc>
          <w:tcPr>
            <w:tcW w:type="dxa" w:w="2041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02 · Descoberta</w:t>
            </w:r>
          </w:p>
        </w:tc>
        <w:tc>
          <w:tcPr>
            <w:tcW w:type="dxa" w:w="7143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Pessoas fazem perguntas, apresentam conhecimentos e ajudam a aprofundar ou transformar a proposta.</w:t>
            </w:r>
          </w:p>
        </w:tc>
      </w:tr>
      <w:tr>
        <w:trPr>
          <w:cantSplit/>
        </w:trPr>
        <w:tc>
          <w:tcPr>
            <w:tcW w:type="dxa" w:w="2041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03 · Colaboração</w:t>
            </w:r>
          </w:p>
        </w:tc>
        <w:tc>
          <w:tcPr>
            <w:tcW w:type="dxa" w:w="7143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Interessados combinam entregáveis, prazos, permissões, responsabilidades e contrapartidas antes de executar.</w:t>
            </w:r>
          </w:p>
        </w:tc>
      </w:tr>
      <w:tr>
        <w:trPr>
          <w:cantSplit/>
        </w:trPr>
        <w:tc>
          <w:tcPr>
            <w:tcW w:type="dxa" w:w="2041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04 · Desenvolvimento</w:t>
            </w:r>
          </w:p>
        </w:tc>
        <w:tc>
          <w:tcPr>
            <w:tcW w:type="dxa" w:w="7143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Pesquisa, protótipo, MVP, testes, produção, operação e possíveis aportes, segundo o caso.</w:t>
            </w:r>
          </w:p>
        </w:tc>
      </w:tr>
      <w:tr>
        <w:trPr>
          <w:cantSplit/>
        </w:trPr>
        <w:tc>
          <w:tcPr>
            <w:tcW w:type="dxa" w:w="2041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05 · Autonomia</w:t>
            </w:r>
          </w:p>
        </w:tc>
        <w:tc>
          <w:tcPr>
            <w:tcW w:type="dxa" w:w="7143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A iniciativa ganha estrutura própria e capacidade de se sustentar, independentemente da participação contínua do Gênesis.</w:t>
            </w:r>
          </w:p>
        </w:tc>
      </w:tr>
    </w:tbl>
    <w:p>
      <w:pPr>
        <w:spacing w:after="20"/>
      </w:pPr>
    </w:p>
    <w:p>
      <w:pPr>
        <w:pStyle w:val="Small"/>
      </w:pPr>
      <w:r>
        <w:t>O percurso não é obrigatório nem linear: propostas podem parar, retroceder, mudar ou continuar em ritmo próprio. A falta de interesse imediato não será apresentada como prova de inviabilidade.</w:t>
      </w:r>
    </w:p>
    <w:p>
      <w:r>
        <w:br w:type="page"/>
      </w:r>
    </w:p>
    <w:p>
      <w:pPr>
        <w:pStyle w:val="Eyebrow"/>
      </w:pPr>
      <w:r>
        <w:t>DOCUMENTO 02  /  VISÃO E MODELO DE NEGÓCIO</w:t>
      </w:r>
    </w:p>
    <w:p>
      <w:pPr>
        <w:pStyle w:val="Heading1"/>
      </w:pPr>
      <w:r>
        <w:t>3. Como o ecossistema funcionará</w:t>
      </w:r>
    </w:p>
    <w:p>
      <w:pPr>
        <w:pStyle w:val="Heading2"/>
      </w:pPr>
      <w:r>
        <w:t>Quatro mecanismos operacionais</w:t>
      </w:r>
    </w:p>
    <w:p>
      <w:pPr>
        <w:spacing w:after="140"/>
      </w:pPr>
      <w:r>
        <w:rPr>
          <w:b/>
          <w:color w:val="106F65"/>
        </w:rPr>
        <w:t xml:space="preserve">A. Descoberta orientada.  </w:t>
      </w:r>
      <w:r>
        <w:t>Publicação acessível e informação suficiente para identificar o problema, a hipótese e o tipo de ajuda desejada. Perguntas e colaboração humana precedem qualquer pontuação automática de “qualidade” de ideia.</w:t>
      </w:r>
    </w:p>
    <w:p>
      <w:pPr>
        <w:spacing w:after="140"/>
      </w:pPr>
      <w:r>
        <w:rPr>
          <w:b/>
          <w:color w:val="106F65"/>
        </w:rPr>
        <w:t xml:space="preserve">B. Conexão por complementaridade.  </w:t>
      </w:r>
      <w:r>
        <w:t>Pessoas são aproximadas por necessidades do projeto, competências, interesses, disponibilidade e condições de participação. O modelo pode começar manual e ganhar filtros com o crescimento.</w:t>
      </w:r>
    </w:p>
    <w:p>
      <w:pPr>
        <w:spacing w:after="140"/>
      </w:pPr>
      <w:r>
        <w:rPr>
          <w:b/>
          <w:color w:val="106F65"/>
        </w:rPr>
        <w:t xml:space="preserve">C. Compromissos proporcionais ao risco.  </w:t>
      </w:r>
      <w:r>
        <w:t>Antes de atividades relevantes, as partes ajustam escopo, entregáveis, prazos, remuneração ou outras contrapartidas, confidencialidade e direitos sobre as entregas, conforme o caso.</w:t>
      </w:r>
    </w:p>
    <w:p>
      <w:pPr>
        <w:spacing w:after="140"/>
      </w:pPr>
      <w:r>
        <w:rPr>
          <w:b/>
          <w:color w:val="106F65"/>
        </w:rPr>
        <w:t xml:space="preserve">D. Histórico verificável.  </w:t>
      </w:r>
      <w:r>
        <w:t>O projeto preserva sua origem e registra alterações, decisões, pessoas envolvidas e entregas efetivamente aceitas, respeitando privacidade, informação estratégica e direitos de cada participante.</w:t>
      </w:r>
    </w:p>
    <w:p>
      <w:pPr>
        <w:pStyle w:val="Heading2"/>
      </w:pPr>
      <w:r>
        <w:t>Reconhecimento não é participação societária</w:t>
      </w:r>
    </w:p>
    <w:p>
      <w:r>
        <w:t>O reconhecimento histórico de quem iniciou ou desenvolveu uma ideia é uma dimensão. O registro de trabalho, tempo, recursos e entregas é outra. Direitos econômicos, remuneração ou participação societária dependem de acordos próprios. Os três elementos não serão confundidos.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69"/>
      </w:tblGrid>
      <w:tr>
        <w:tc>
          <w:tcPr>
            <w:tcW w:type="dxa" w:w="9320"/>
            <w:shd w:fill="EBF4F1"/>
            <w:tcMar>
              <w:top w:w="140" w:type="dxa"/>
              <w:start w:w="160" w:type="dxa"/>
              <w:bottom w:w="125" w:type="dxa"/>
              <w:end w:w="160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REGRA PRELIMINAR</w:t>
              <w:br/>
            </w:r>
            <w:r>
              <w:rPr>
                <w:b/>
                <w:color w:val="182B37"/>
                <w:sz w:val="21"/>
              </w:rPr>
              <w:t>Nenhum crédito, curtida, comentário, hora ou tarefa concluída deverá gerar automaticamente quotas, ações, rendimentos ou direitos financeiros.</w:t>
            </w:r>
          </w:p>
        </w:tc>
      </w:tr>
    </w:tbl>
    <w:p>
      <w:pPr>
        <w:spacing w:after="0"/>
      </w:pPr>
    </w:p>
    <w:p>
      <w:pPr>
        <w:pStyle w:val="Heading2"/>
      </w:pPr>
      <w:r>
        <w:t>Confiança em diferentes níveis</w:t>
      </w:r>
    </w:p>
    <w:p>
      <w:pPr>
        <w:pStyle w:val="ListBullet"/>
        <w:spacing w:after="80"/>
        <w:ind w:left="369"/>
      </w:pPr>
      <w:r>
        <w:t>Conteúdo público: apresentação resumida da iniciativa e oportunidades de colaboração.</w:t>
      </w:r>
    </w:p>
    <w:p>
      <w:pPr>
        <w:pStyle w:val="ListBullet"/>
        <w:spacing w:after="80"/>
        <w:ind w:left="369"/>
      </w:pPr>
      <w:r>
        <w:t>Conteúdo reservado: informações adicionais acessadas conforme permissões e, quando adequado, confidencialidade.</w:t>
      </w:r>
    </w:p>
    <w:p>
      <w:pPr>
        <w:pStyle w:val="ListBullet"/>
        <w:spacing w:after="80"/>
        <w:ind w:left="369"/>
      </w:pPr>
      <w:r>
        <w:t>Ambiente de execução: documentos, responsabilidades e registros disponíveis apenas às partes autorizadas.</w:t>
      </w:r>
    </w:p>
    <w:p>
      <w:pPr>
        <w:pStyle w:val="Small"/>
      </w:pPr>
      <w:r>
        <w:t>O Gênesis não será presumidamente titular das ideias ou das empresas que utilizarão o ecossistema. Eventuais participações, licenças ou serviços deverão ser justificados e pactuados.</w:t>
      </w:r>
    </w:p>
    <w:p>
      <w:r>
        <w:br w:type="page"/>
      </w:r>
    </w:p>
    <w:p>
      <w:pPr>
        <w:pStyle w:val="Eyebrow"/>
      </w:pPr>
      <w:r>
        <w:t>DOCUMENTO 02  /  VISÃO E MODELO DE NEGÓCIO</w:t>
      </w:r>
    </w:p>
    <w:p>
      <w:pPr>
        <w:pStyle w:val="Heading1"/>
      </w:pPr>
      <w:r>
        <w:t>4. Modelo de negócio e sustentabilidade</w:t>
      </w:r>
    </w:p>
    <w:p>
      <w:pPr>
        <w:pStyle w:val="Heading2"/>
      </w:pPr>
      <w:r>
        <w:t>Quem recebe valor</w:t>
      </w:r>
    </w:p>
    <w:p>
      <w:r>
        <w:t>O idealizador recebe acesso a capacidades complementares; o colaborador encontra oportunidades com expectativas mais claras; investidores e instituições ganham acesso a projetos acompanháveis; e o Gênesis poderá gerar receitas por conveniência, serviços e soluções de organização — não pelo simples direito de ter uma ideia.</w:t>
      </w:r>
    </w:p>
    <w:p>
      <w:pPr>
        <w:pStyle w:val="Heading2"/>
      </w:pPr>
      <w:r>
        <w:t>Fontes de receita a testar — não aprovadas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5443"/>
        <w:gridCol w:w="1757"/>
      </w:tblGrid>
      <w:tr>
        <w:tc>
          <w:tcPr>
            <w:tcW w:type="dxa" w:w="3107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FONTE</w:t>
            </w:r>
          </w:p>
        </w:tc>
        <w:tc>
          <w:tcPr>
            <w:tcW w:type="dxa" w:w="3107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HIPÓTESE DE OFERTA</w:t>
            </w:r>
          </w:p>
        </w:tc>
        <w:tc>
          <w:tcPr>
            <w:tcW w:type="dxa" w:w="3107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MOMENTO</w:t>
            </w:r>
          </w:p>
        </w:tc>
      </w:tr>
      <w:tr>
        <w:trPr>
          <w:cantSplit/>
        </w:trPr>
        <w:tc>
          <w:tcPr>
            <w:tcW w:type="dxa" w:w="1984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Recursos premium</w:t>
            </w:r>
          </w:p>
        </w:tc>
        <w:tc>
          <w:tcPr>
            <w:tcW w:type="dxa" w:w="5443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Gestão de projetos, relatórios, ferramentas de equipe e documentação adicional.</w:t>
            </w:r>
          </w:p>
        </w:tc>
        <w:tc>
          <w:tcPr>
            <w:tcW w:type="dxa" w:w="1757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Após demanda demonstrada</w:t>
            </w:r>
          </w:p>
        </w:tc>
      </w:tr>
      <w:tr>
        <w:trPr>
          <w:cantSplit/>
        </w:trPr>
        <w:tc>
          <w:tcPr>
            <w:tcW w:type="dxa" w:w="1984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Planos institucionais</w:t>
            </w:r>
          </w:p>
        </w:tc>
        <w:tc>
          <w:tcPr>
            <w:tcW w:type="dxa" w:w="5443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Ambientes para universidades, incubadoras, empresas e comunidades desenvolverem iniciativas.</w:t>
            </w:r>
          </w:p>
        </w:tc>
        <w:tc>
          <w:tcPr>
            <w:tcW w:type="dxa" w:w="1757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Após piloto reproduzível</w:t>
            </w:r>
          </w:p>
        </w:tc>
      </w:tr>
      <w:tr>
        <w:trPr>
          <w:cantSplit/>
        </w:trPr>
        <w:tc>
          <w:tcPr>
            <w:tcW w:type="dxa" w:w="1984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Serviços especializados</w:t>
            </w:r>
          </w:p>
        </w:tc>
        <w:tc>
          <w:tcPr>
            <w:tcW w:type="dxa" w:w="5443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Apoio opcional de profissionais e parceiros, com termos e responsabilidades próprios.</w:t>
            </w:r>
          </w:p>
        </w:tc>
        <w:tc>
          <w:tcPr>
            <w:tcW w:type="dxa" w:w="1757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Após desenho jurídico-operacional</w:t>
            </w:r>
          </w:p>
        </w:tc>
      </w:tr>
      <w:tr>
        <w:trPr>
          <w:cantSplit/>
        </w:trPr>
        <w:tc>
          <w:tcPr>
            <w:tcW w:type="dxa" w:w="1984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Parcerias e patrocínios</w:t>
            </w:r>
          </w:p>
        </w:tc>
        <w:tc>
          <w:tcPr>
            <w:tcW w:type="dxa" w:w="5443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Patrocínio de desafios, jornadas ou programas gratuitos para participantes.</w:t>
            </w:r>
          </w:p>
        </w:tc>
        <w:tc>
          <w:tcPr>
            <w:tcW w:type="dxa" w:w="1757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Após comunidade relevante</w:t>
            </w:r>
          </w:p>
        </w:tc>
      </w:tr>
    </w:tbl>
    <w:p>
      <w:pPr>
        <w:spacing w:after="20"/>
      </w:pPr>
    </w:p>
    <w:p>
      <w:pPr>
        <w:pStyle w:val="Heading2"/>
      </w:pPr>
      <w:r>
        <w:t>Modelo operacional em nove elementos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6"/>
        <w:gridCol w:w="7228"/>
      </w:tblGrid>
      <w:tr>
        <w:tc>
          <w:tcPr>
            <w:tcW w:type="dxa" w:w="4660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DIMENSÃO</w:t>
            </w:r>
          </w:p>
        </w:tc>
        <w:tc>
          <w:tcPr>
            <w:tcW w:type="dxa" w:w="4660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DEFINIÇÃO INICIAL</w:t>
            </w:r>
          </w:p>
        </w:tc>
      </w:tr>
      <w:tr>
        <w:trPr>
          <w:cantSplit/>
        </w:trPr>
        <w:tc>
          <w:tcPr>
            <w:tcW w:type="dxa" w:w="1956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Públicos</w:t>
            </w:r>
          </w:p>
        </w:tc>
        <w:tc>
          <w:tcPr>
            <w:tcW w:type="dxa" w:w="7228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Idealizadores, profissionais colaboradores, especialistas, investidores e instituições.</w:t>
            </w:r>
          </w:p>
        </w:tc>
      </w:tr>
      <w:tr>
        <w:trPr>
          <w:cantSplit/>
        </w:trPr>
        <w:tc>
          <w:tcPr>
            <w:tcW w:type="dxa" w:w="1956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Proposta de valor</w:t>
            </w:r>
          </w:p>
        </w:tc>
        <w:tc>
          <w:tcPr>
            <w:tcW w:type="dxa" w:w="7228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Do encontro casual à colaboração estruturada, com confiança e rastreabilidade.</w:t>
            </w:r>
          </w:p>
        </w:tc>
      </w:tr>
      <w:tr>
        <w:trPr>
          <w:cantSplit/>
        </w:trPr>
        <w:tc>
          <w:tcPr>
            <w:tcW w:type="dxa" w:w="1956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Canais</w:t>
            </w:r>
          </w:p>
        </w:tc>
        <w:tc>
          <w:tcPr>
            <w:tcW w:type="dxa" w:w="7228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Instagram, site, indicações, comunidades e parceiros institucionais.</w:t>
            </w:r>
          </w:p>
        </w:tc>
      </w:tr>
      <w:tr>
        <w:trPr>
          <w:cantSplit/>
        </w:trPr>
        <w:tc>
          <w:tcPr>
            <w:tcW w:type="dxa" w:w="1956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Relacionamento</w:t>
            </w:r>
          </w:p>
        </w:tc>
        <w:tc>
          <w:tcPr>
            <w:tcW w:type="dxa" w:w="7228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Acolhimento inicial, orientação leve, acompanhamento e comunidade.</w:t>
            </w:r>
          </w:p>
        </w:tc>
      </w:tr>
      <w:tr>
        <w:trPr>
          <w:cantSplit/>
        </w:trPr>
        <w:tc>
          <w:tcPr>
            <w:tcW w:type="dxa" w:w="1956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Atividades-chave</w:t>
            </w:r>
          </w:p>
        </w:tc>
        <w:tc>
          <w:tcPr>
            <w:tcW w:type="dxa" w:w="7228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Qualificar projetos, conectar pessoas, apoiar acordos e acompanhar entregas.</w:t>
            </w:r>
          </w:p>
        </w:tc>
      </w:tr>
      <w:tr>
        <w:trPr>
          <w:cantSplit/>
        </w:trPr>
        <w:tc>
          <w:tcPr>
            <w:tcW w:type="dxa" w:w="1956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Recursos-chave</w:t>
            </w:r>
          </w:p>
        </w:tc>
        <w:tc>
          <w:tcPr>
            <w:tcW w:type="dxa" w:w="7228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Método, documentação, comunidade, reputação, equipe e operação.</w:t>
            </w:r>
          </w:p>
        </w:tc>
      </w:tr>
      <w:tr>
        <w:trPr>
          <w:cantSplit/>
        </w:trPr>
        <w:tc>
          <w:tcPr>
            <w:tcW w:type="dxa" w:w="1956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Parceiros-chave</w:t>
            </w:r>
          </w:p>
        </w:tc>
        <w:tc>
          <w:tcPr>
            <w:tcW w:type="dxa" w:w="7228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Profissionais, instituições de apoio, tecnologia e parceiros habilitados.</w:t>
            </w:r>
          </w:p>
        </w:tc>
      </w:tr>
      <w:tr>
        <w:trPr>
          <w:cantSplit/>
        </w:trPr>
        <w:tc>
          <w:tcPr>
            <w:tcW w:type="dxa" w:w="1956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Receitas</w:t>
            </w:r>
          </w:p>
        </w:tc>
        <w:tc>
          <w:tcPr>
            <w:tcW w:type="dxa" w:w="7228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Serviços e funcionalidades opcionais, licenças e parcerias.</w:t>
            </w:r>
          </w:p>
        </w:tc>
      </w:tr>
      <w:tr>
        <w:trPr>
          <w:cantSplit/>
        </w:trPr>
        <w:tc>
          <w:tcPr>
            <w:tcW w:type="dxa" w:w="1956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Custos</w:t>
            </w:r>
          </w:p>
        </w:tc>
        <w:tc>
          <w:tcPr>
            <w:tcW w:type="dxa" w:w="7228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Operação, moderação, comunicação, tecnologia, suporte e conformidade.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t>DOCUMENTO 02  /  VISÃO E MODELO DE NEGÓCIO</w:t>
      </w:r>
    </w:p>
    <w:p>
      <w:pPr>
        <w:pStyle w:val="Heading1"/>
      </w:pPr>
      <w:r>
        <w:t>5. Nossa primeira prova: Projeto #001</w:t>
      </w:r>
    </w:p>
    <w:p>
      <w:pPr>
        <w:pStyle w:val="Heading2"/>
      </w:pPr>
      <w:r>
        <w:t>MVP antes de software próprio</w:t>
      </w:r>
    </w:p>
    <w:p>
      <w:r>
        <w:t>A primeira iniciativa a utilizar o método será a construção do próprio Gênesis. Seus documentos e necessidades serão públicos nas partes autorizadas, com possibilidade de receber desde o lançamento novas propostas de terceiros, cujo acompanhamento dependerá da capacidade operacional.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6746"/>
      </w:tblGrid>
      <w:tr>
        <w:tc>
          <w:tcPr>
            <w:tcW w:type="dxa" w:w="4660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CANAL</w:t>
            </w:r>
          </w:p>
        </w:tc>
        <w:tc>
          <w:tcPr>
            <w:tcW w:type="dxa" w:w="4660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FUNÇÃO NO PRIMEIRO TESTE</w:t>
            </w:r>
          </w:p>
        </w:tc>
      </w:tr>
      <w:tr>
        <w:trPr>
          <w:cantSplit/>
        </w:trPr>
        <w:tc>
          <w:tcPr>
            <w:tcW w:type="dxa" w:w="2438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Instagram</w:t>
            </w:r>
          </w:p>
        </w:tc>
        <w:tc>
          <w:tcPr>
            <w:tcW w:type="dxa" w:w="6746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Narrar a construção, explicar necessidades, publicar marcos e atrair interessados.</w:t>
            </w:r>
          </w:p>
        </w:tc>
      </w:tr>
      <w:tr>
        <w:trPr>
          <w:cantSplit/>
        </w:trPr>
        <w:tc>
          <w:tcPr>
            <w:tcW w:type="dxa" w:w="2438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Site inaugural</w:t>
            </w:r>
          </w:p>
        </w:tc>
        <w:tc>
          <w:tcPr>
            <w:tcW w:type="dxa" w:w="6746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Exibir Carta de Fundação, visão, modelo, projeto #001, estágios e formulário funcional.</w:t>
            </w:r>
          </w:p>
        </w:tc>
      </w:tr>
      <w:tr>
        <w:trPr>
          <w:cantSplit/>
        </w:trPr>
        <w:tc>
          <w:tcPr>
            <w:tcW w:type="dxa" w:w="2438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Formulário e base de dados</w:t>
            </w:r>
          </w:p>
        </w:tc>
        <w:tc>
          <w:tcPr>
            <w:tcW w:type="dxa" w:w="6746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Receber contatos e mapear habilidades, disponibilidade e interesses, com informação sobre privacidade.</w:t>
            </w:r>
          </w:p>
        </w:tc>
      </w:tr>
      <w:tr>
        <w:trPr>
          <w:cantSplit/>
        </w:trPr>
        <w:tc>
          <w:tcPr>
            <w:tcW w:type="dxa" w:w="2438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Gestão interna manual</w:t>
            </w:r>
          </w:p>
        </w:tc>
        <w:tc>
          <w:tcPr>
            <w:tcW w:type="dxa" w:w="6746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Registrar oportunidades, conversas, acordos, entregas e decisões sem desenvolver aplicativo.</w:t>
            </w:r>
          </w:p>
        </w:tc>
      </w:tr>
    </w:tbl>
    <w:p>
      <w:pPr>
        <w:spacing w:after="20"/>
      </w:pPr>
    </w:p>
    <w:p>
      <w:pPr>
        <w:pStyle w:val="Heading2"/>
      </w:pPr>
      <w:r>
        <w:t>Primeiras experiências que precisam acontecer</w:t>
      </w:r>
    </w:p>
    <w:p>
      <w:pPr>
        <w:pStyle w:val="ListBullet"/>
        <w:spacing w:after="80"/>
        <w:ind w:left="369"/>
      </w:pPr>
      <w:r>
        <w:t>Alguém compreende o projeto apenas pelos materiais públicos e se candidata a contribuir.</w:t>
      </w:r>
    </w:p>
    <w:p>
      <w:pPr>
        <w:pStyle w:val="ListBullet"/>
        <w:spacing w:after="80"/>
        <w:ind w:left="369"/>
      </w:pPr>
      <w:r>
        <w:t>O Gênesis identifica uma necessidade concreta e chega a um acordo compreensível com esse participante.</w:t>
      </w:r>
    </w:p>
    <w:p>
      <w:pPr>
        <w:pStyle w:val="ListBullet"/>
        <w:spacing w:after="80"/>
        <w:ind w:left="369"/>
      </w:pPr>
      <w:r>
        <w:t>A colaboração resulta em uma entrega aceita e documentada, como uma identidade visual, pesquisa, peça de comunicação ou melhoria do site.</w:t>
      </w:r>
    </w:p>
    <w:p>
      <w:pPr>
        <w:pStyle w:val="ListBullet"/>
        <w:spacing w:after="80"/>
        <w:ind w:left="369"/>
      </w:pPr>
      <w:r>
        <w:t>Ambos avaliam o processo como claro e suficientemente confiável para recomendar ou repetir.</w:t>
      </w:r>
    </w:p>
    <w:p>
      <w:pPr>
        <w:pStyle w:val="Heading2"/>
      </w:pPr>
      <w:r>
        <w:t>Indicadores para a primeira validação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350"/>
      </w:tblGrid>
      <w:tr>
        <w:tc>
          <w:tcPr>
            <w:tcW w:type="dxa" w:w="4660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O QUE MEDIREMOS</w:t>
            </w:r>
          </w:p>
        </w:tc>
        <w:tc>
          <w:tcPr>
            <w:tcW w:type="dxa" w:w="4660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POR QUE IMPORTA</w:t>
            </w:r>
          </w:p>
        </w:tc>
      </w:tr>
      <w:tr>
        <w:trPr>
          <w:cantSplit/>
        </w:trPr>
        <w:tc>
          <w:tcPr>
            <w:tcW w:type="dxa" w:w="2835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Interesse qualificado</w:t>
            </w:r>
          </w:p>
        </w:tc>
        <w:tc>
          <w:tcPr>
            <w:tcW w:type="dxa" w:w="635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Pessoas que compreendem a proposta e oferecem contribuição específica.</w:t>
            </w:r>
          </w:p>
        </w:tc>
      </w:tr>
      <w:tr>
        <w:trPr>
          <w:cantSplit/>
        </w:trPr>
        <w:tc>
          <w:tcPr>
            <w:tcW w:type="dxa" w:w="2835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Conversas → acordos</w:t>
            </w:r>
          </w:p>
        </w:tc>
        <w:tc>
          <w:tcPr>
            <w:tcW w:type="dxa" w:w="635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Capacidade de sair do contato inicial e chegar a um compromisso.</w:t>
            </w:r>
          </w:p>
        </w:tc>
      </w:tr>
      <w:tr>
        <w:trPr>
          <w:cantSplit/>
        </w:trPr>
        <w:tc>
          <w:tcPr>
            <w:tcW w:type="dxa" w:w="2835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Acordos → entregas</w:t>
            </w:r>
          </w:p>
        </w:tc>
        <w:tc>
          <w:tcPr>
            <w:tcW w:type="dxa" w:w="635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Capacidade de gerar trabalho real e concluído.</w:t>
            </w:r>
          </w:p>
        </w:tc>
      </w:tr>
      <w:tr>
        <w:trPr>
          <w:cantSplit/>
        </w:trPr>
        <w:tc>
          <w:tcPr>
            <w:tcW w:type="dxa" w:w="2835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Satisfação bilateral</w:t>
            </w:r>
          </w:p>
        </w:tc>
        <w:tc>
          <w:tcPr>
            <w:tcW w:type="dxa" w:w="635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Se idealizador e colaborador percebem justiça, clareza e confiança.</w:t>
            </w:r>
          </w:p>
        </w:tc>
      </w:tr>
      <w:tr>
        <w:trPr>
          <w:cantSplit/>
        </w:trPr>
        <w:tc>
          <w:tcPr>
            <w:tcW w:type="dxa" w:w="2835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Custo e tempo por colaboração</w:t>
            </w:r>
          </w:p>
        </w:tc>
        <w:tc>
          <w:tcPr>
            <w:tcW w:type="dxa" w:w="635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Se o processo pode ser repetido e ampliado sem depender do fundador em tudo.</w:t>
            </w:r>
          </w:p>
        </w:tc>
      </w:tr>
    </w:tbl>
    <w:p>
      <w:pPr>
        <w:spacing w:after="20"/>
      </w:pPr>
    </w:p>
    <w:p>
      <w:pPr>
        <w:pStyle w:val="Small"/>
      </w:pPr>
      <w:r>
        <w:t>Metas numéricas e prazo de execução deverão ser definidos em uma versão do Projeto #001; ainda não há evidências de demanda que sustentem previsões.</w:t>
      </w:r>
    </w:p>
    <w:p>
      <w:r>
        <w:br w:type="page"/>
      </w:r>
    </w:p>
    <w:p>
      <w:pPr>
        <w:pStyle w:val="Eyebrow"/>
      </w:pPr>
      <w:r>
        <w:t>DOCUMENTO 02  /  VISÃO E MODELO DE NEGÓCIO</w:t>
      </w:r>
    </w:p>
    <w:p>
      <w:pPr>
        <w:pStyle w:val="Heading1"/>
      </w:pPr>
      <w:r>
        <w:t>6. Limites, riscos e decisões abertas</w:t>
      </w:r>
    </w:p>
    <w:p>
      <w:pPr>
        <w:pStyle w:val="Heading2"/>
      </w:pPr>
      <w:r>
        <w:t>Riscos críticos e resposta preliminar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350"/>
      </w:tblGrid>
      <w:tr>
        <w:tc>
          <w:tcPr>
            <w:tcW w:type="dxa" w:w="4660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RISCO</w:t>
            </w:r>
          </w:p>
        </w:tc>
        <w:tc>
          <w:tcPr>
            <w:tcW w:type="dxa" w:w="4660"/>
            <w:shd w:fill="E8F1EF"/>
            <w:tcMar>
              <w:top w:w="95" w:type="dxa"/>
              <w:start w:w="95" w:type="dxa"/>
              <w:bottom w:w="90" w:type="dxa"/>
              <w:end w:w="95" w:type="dxa"/>
            </w:tcMar>
          </w:tcPr>
          <w:p>
            <w:pPr>
              <w:pStyle w:val="TableSmall"/>
            </w:pPr>
            <w:r>
              <w:rPr>
                <w:b/>
                <w:color w:val="106F65"/>
                <w:sz w:val="16"/>
              </w:rPr>
              <w:t>DIRETRIZ INICIAL</w:t>
            </w:r>
          </w:p>
        </w:tc>
      </w:tr>
      <w:tr>
        <w:trPr>
          <w:cantSplit/>
        </w:trPr>
        <w:tc>
          <w:tcPr>
            <w:tcW w:type="dxa" w:w="2835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Falta de colaboradores</w:t>
            </w:r>
          </w:p>
        </w:tc>
        <w:tc>
          <w:tcPr>
            <w:tcW w:type="dxa" w:w="635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Começar com necessidades pequenas e verificáveis; medir resposta dos dois lados.</w:t>
            </w:r>
          </w:p>
        </w:tc>
      </w:tr>
      <w:tr>
        <w:trPr>
          <w:cantSplit/>
        </w:trPr>
        <w:tc>
          <w:tcPr>
            <w:tcW w:type="dxa" w:w="2835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Ideias vagas ou má-fé</w:t>
            </w:r>
          </w:p>
        </w:tc>
        <w:tc>
          <w:tcPr>
            <w:tcW w:type="dxa" w:w="635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Perguntas guiadas, moderação proporcional e regras contra fraude e abuso.</w:t>
            </w:r>
          </w:p>
        </w:tc>
      </w:tr>
      <w:tr>
        <w:trPr>
          <w:cantSplit/>
        </w:trPr>
        <w:tc>
          <w:tcPr>
            <w:tcW w:type="dxa" w:w="2835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Apropriação ou divulgação indevida</w:t>
            </w:r>
          </w:p>
        </w:tc>
        <w:tc>
          <w:tcPr>
            <w:tcW w:type="dxa" w:w="635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Camadas de acesso, análise prévia de propriedade intelectual e acordos adequados.</w:t>
            </w:r>
          </w:p>
        </w:tc>
      </w:tr>
      <w:tr>
        <w:trPr>
          <w:cantSplit/>
        </w:trPr>
        <w:tc>
          <w:tcPr>
            <w:tcW w:type="dxa" w:w="2835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Trabalho sem contrapartida clara</w:t>
            </w:r>
          </w:p>
        </w:tc>
        <w:tc>
          <w:tcPr>
            <w:tcW w:type="dxa" w:w="635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Documentar previamente escopo, natureza da relação e condições econômicas.</w:t>
            </w:r>
          </w:p>
        </w:tc>
      </w:tr>
      <w:tr>
        <w:trPr>
          <w:cantSplit/>
        </w:trPr>
        <w:tc>
          <w:tcPr>
            <w:tcW w:type="dxa" w:w="2835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/>
              </w:rPr>
              <w:t>Disputa por créditos e participações</w:t>
            </w:r>
          </w:p>
        </w:tc>
        <w:tc>
          <w:tcPr>
            <w:tcW w:type="dxa" w:w="635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  <w:shd w:fill="F8FAFA"/>
          </w:tcPr>
          <w:p>
            <w:pPr>
              <w:pStyle w:val="TableSmall"/>
            </w:pPr>
            <w:r>
              <w:rPr>
                <w:b w:val="0"/>
              </w:rPr>
              <w:t>Separar registros de entrega de direitos econômicos; não distribuir quotas automaticamente.</w:t>
            </w:r>
          </w:p>
        </w:tc>
      </w:tr>
      <w:tr>
        <w:trPr>
          <w:cantSplit/>
        </w:trPr>
        <w:tc>
          <w:tcPr>
            <w:tcW w:type="dxa" w:w="2835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/>
              </w:rPr>
              <w:t>Investimento irregular</w:t>
            </w:r>
          </w:p>
        </w:tc>
        <w:tc>
          <w:tcPr>
            <w:tcW w:type="dxa" w:w="6350"/>
            <w:tcMar>
              <w:top w:w="95" w:type="dxa"/>
              <w:start w:w="95" w:type="dxa"/>
              <w:bottom w:w="90" w:type="dxa"/>
              <w:end w:w="95" w:type="dxa"/>
            </w:tcMar>
            <w:tcBorders>
              <w:bottom w:val="single" w:sz="4" w:color="D8E4E1"/>
            </w:tcBorders>
          </w:tcPr>
          <w:p>
            <w:pPr>
              <w:pStyle w:val="TableSmall"/>
            </w:pPr>
            <w:r>
              <w:rPr>
                <w:b w:val="0"/>
              </w:rPr>
              <w:t>Não ofertar publicamente valores mobiliários ou intermediar captação sem estrutura regulatória apropriada.</w:t>
            </w:r>
          </w:p>
        </w:tc>
      </w:tr>
    </w:tbl>
    <w:p>
      <w:pPr>
        <w:spacing w:after="20"/>
      </w:pPr>
    </w:p>
    <w:p>
      <w:pPr>
        <w:pStyle w:val="Heading2"/>
      </w:pPr>
      <w:r>
        <w:t>O que está decidido e o que permanece aberto</w:t>
      </w:r>
    </w:p>
    <w:p>
      <w:pPr>
        <w:spacing w:after="140"/>
      </w:pPr>
      <w:r>
        <w:rPr>
          <w:b/>
          <w:color w:val="106F65"/>
        </w:rPr>
        <w:t xml:space="preserve">Alinhado.  </w:t>
      </w:r>
      <w:r>
        <w:t>Nome interno Projeto Gênesis; posicionamento atual; inclusão de iniciativas iniciais; importância de todos os tipos de contribuição; histórico e reconhecimento; Projeto #001 como primeiro piloto; site com aparência de construção, mas recursos funcionais.</w:t>
      </w:r>
    </w:p>
    <w:p>
      <w:pPr>
        <w:spacing w:after="140"/>
      </w:pPr>
      <w:r>
        <w:rPr>
          <w:b/>
          <w:color w:val="106F65"/>
        </w:rPr>
        <w:t xml:space="preserve">Proposto.  </w:t>
      </w:r>
      <w:r>
        <w:t>Visão, missão, jornada, operação de correspondência manual e caminhos de monetização expostos neste documento.</w:t>
      </w:r>
    </w:p>
    <w:p>
      <w:pPr>
        <w:spacing w:after="140"/>
      </w:pPr>
      <w:r>
        <w:rPr>
          <w:b/>
          <w:color w:val="106F65"/>
        </w:rPr>
        <w:t xml:space="preserve">A definir.  </w:t>
      </w:r>
      <w:r>
        <w:t>Critérios mínimos de publicação, modelo formal de reconhecimento, créditos, governança, contrapartidas, preço, estrutura societária e eventual participação do Gênesis em outras iniciativas.</w:t>
      </w:r>
    </w:p>
    <w:p>
      <w:pPr>
        <w:pStyle w:val="Heading2"/>
      </w:pPr>
      <w:r>
        <w:t>Próximo documento</w:t>
      </w:r>
    </w:p>
    <w:p>
      <w:r>
        <w:t>Documento 03 — Constituição do Ecossistema: transformar compromissos de cultura e confiança em princípios claros, sem antecipar contratos ou regras técnicas que ainda não foram validados.</w:t>
      </w:r>
    </w:p>
    <w:p>
      <w:pPr>
        <w:pStyle w:val="Heading2"/>
      </w:pPr>
      <w:r>
        <w:t>Referências regulatórias de contexto</w:t>
      </w:r>
    </w:p>
    <w:p>
      <w:pPr>
        <w:pStyle w:val="Small"/>
      </w:pPr>
      <w:r>
        <w:t>CVM — Resolução 88 e regime de plataformas de investimento participativo: https://www.gov.br/pt-br/servicos/registrar-plataforma-eletronica-de-investimento-participativo-cvm-crowdfunding</w:t>
      </w:r>
    </w:p>
    <w:p>
      <w:pPr>
        <w:pStyle w:val="Small"/>
      </w:pPr>
      <w:r>
        <w:t>ANPD — Orientações de segurança e proteção de dados para agentes de pequeno porte: https://www.gov.br/anpd/pt-br/centrais-de-conteudo/materiais-educativos-e-publicacoes/guia-orientativo-sobre-seguranca-da-informacao-para-agentes-de-tratamento-de-pequeno-porte</w:t>
      </w:r>
    </w:p>
    <w:p>
      <w:pPr>
        <w:pStyle w:val="Small"/>
      </w:pPr>
      <w:r>
        <w:t>Observação: este documento é uma proposta de arquitetura de negócios e comunicação pública; não substitui análise jurídica específica da operação que vier a ser implementada.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11" w:right="1293" w:bottom="981" w:left="1293" w:header="454" w:footer="4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E6E73"/>
        <w:sz w:val="16"/>
      </w:rPr>
      <w:t xml:space="preserve">Documento 02 · Versão 0.2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5E6E73"/>
        <w:sz w:val="14"/>
      </w:rPr>
      <w:t>PROJETO GÊNESIS  /  KIT DE FUNDAÇÃO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</w:pPr>
    <w:rPr>
      <w:rFonts w:ascii="Aptos" w:hAnsi="Aptos"/>
      <w:color w:val="212C3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2B3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182B3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182B3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82B3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spacing w:after="140"/>
    </w:pPr>
    <w:rPr>
      <w:rFonts w:ascii="Aptos" w:hAnsi="Aptos"/>
      <w:b/>
      <w:color w:val="106F65"/>
      <w:sz w:val="16"/>
    </w:rPr>
  </w:style>
  <w:style w:type="paragraph" w:customStyle="1" w:styleId="Small">
    <w:name w:val="Small"/>
    <w:pPr>
      <w:spacing w:after="100"/>
    </w:pPr>
    <w:rPr>
      <w:rFonts w:ascii="Aptos" w:hAnsi="Aptos"/>
      <w:color w:val="5E6E73"/>
      <w:sz w:val="17"/>
    </w:rPr>
  </w:style>
  <w:style w:type="paragraph" w:customStyle="1" w:styleId="Lead">
    <w:name w:val="Lead"/>
    <w:pPr>
      <w:spacing w:after="100" w:line="298" w:lineRule="auto"/>
    </w:pPr>
    <w:rPr>
      <w:rFonts w:ascii="Aptos" w:hAnsi="Aptos"/>
      <w:color w:val="212C30"/>
      <w:sz w:val="22"/>
    </w:rPr>
  </w:style>
  <w:style w:type="paragraph" w:customStyle="1" w:styleId="Callout">
    <w:name w:val="Callout"/>
    <w:pPr>
      <w:spacing w:after="240" w:before="120"/>
    </w:pPr>
    <w:rPr>
      <w:rFonts w:ascii="Aptos" w:hAnsi="Aptos"/>
      <w:b/>
      <w:color w:val="106F65"/>
      <w:sz w:val="24"/>
    </w:rPr>
  </w:style>
  <w:style w:type="paragraph" w:customStyle="1" w:styleId="TableSmall">
    <w:name w:val="TableSmall"/>
    <w:pPr>
      <w:spacing w:after="40" w:line="264" w:lineRule="auto"/>
    </w:pPr>
    <w:rPr>
      <w:rFonts w:ascii="Aptos" w:hAnsi="Aptos"/>
      <w:color w:val="212C30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Gênesis — Visão e Modelo de Negócio</dc:title>
  <dc:subject>Kit de Fundação — Documento 02</dc:subject>
  <dc:creator>Projeto Gênesis</dc:creator>
  <cp:keywords>Projeto Gênesis, modelo de negócio, visão, colaboração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